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40" w:rsidRPr="00177994" w:rsidRDefault="00FA2282" w:rsidP="00FA2282">
      <w:pPr>
        <w:spacing w:before="360" w:after="360"/>
        <w:jc w:val="center"/>
        <w:rPr>
          <w:b/>
          <w:spacing w:val="32"/>
          <w:sz w:val="32"/>
          <w:szCs w:val="32"/>
          <w:lang w:val="en-CA"/>
        </w:rPr>
      </w:pPr>
      <w:r w:rsidRPr="00177994">
        <w:rPr>
          <w:b/>
          <w:spacing w:val="32"/>
          <w:sz w:val="32"/>
          <w:szCs w:val="32"/>
          <w:lang w:val="en-CA"/>
        </w:rPr>
        <w:t>ONTARIO COURT OF JUSTICE</w:t>
      </w:r>
    </w:p>
    <w:p w:rsidR="006816E1" w:rsidRPr="00BC6CE5" w:rsidRDefault="006816E1" w:rsidP="00220490">
      <w:pPr>
        <w:rPr>
          <w:szCs w:val="24"/>
          <w:lang w:val="en-CA"/>
        </w:rPr>
      </w:pPr>
    </w:p>
    <w:p w:rsidR="006816E1" w:rsidRPr="00BC6CE5" w:rsidRDefault="006816E1" w:rsidP="00220490">
      <w:pPr>
        <w:rPr>
          <w:szCs w:val="24"/>
          <w:lang w:val="en-CA"/>
        </w:rPr>
      </w:pPr>
    </w:p>
    <w:p w:rsidR="00220490" w:rsidRPr="00BC6CE5" w:rsidRDefault="00220490" w:rsidP="00220490">
      <w:pPr>
        <w:rPr>
          <w:b/>
          <w:spacing w:val="84"/>
          <w:kern w:val="26"/>
          <w:szCs w:val="24"/>
          <w:lang w:val="en-CA"/>
        </w:rPr>
      </w:pPr>
      <w:r w:rsidRPr="00BC6CE5">
        <w:rPr>
          <w:b/>
          <w:spacing w:val="84"/>
          <w:kern w:val="26"/>
          <w:szCs w:val="24"/>
          <w:lang w:val="en-CA"/>
        </w:rPr>
        <w:t>BETWEEN:</w:t>
      </w:r>
    </w:p>
    <w:p w:rsidR="00220490" w:rsidRPr="00BC6CE5" w:rsidRDefault="00220490" w:rsidP="00220490">
      <w:pPr>
        <w:rPr>
          <w:szCs w:val="24"/>
          <w:lang w:val="en-CA"/>
        </w:rPr>
      </w:pPr>
    </w:p>
    <w:p w:rsidR="00220490" w:rsidRPr="00BC6CE5" w:rsidRDefault="00C22FA8" w:rsidP="00220490">
      <w:pPr>
        <w:rPr>
          <w:b/>
          <w:szCs w:val="24"/>
          <w:lang w:val="en-CA"/>
        </w:rPr>
      </w:pPr>
      <w:r w:rsidRPr="00BC6CE5">
        <w:rPr>
          <w:b/>
          <w:szCs w:val="24"/>
          <w:lang w:val="en-CA"/>
        </w:rPr>
        <w:t>HER MAJESTY THE QUEEN</w:t>
      </w:r>
    </w:p>
    <w:p w:rsidR="00C22FA8" w:rsidRPr="00BC6CE5" w:rsidRDefault="00C22FA8" w:rsidP="00220490">
      <w:pPr>
        <w:rPr>
          <w:szCs w:val="24"/>
          <w:lang w:val="en-CA"/>
        </w:rPr>
      </w:pPr>
    </w:p>
    <w:p w:rsidR="00C22FA8" w:rsidRPr="00BC6CE5" w:rsidRDefault="00C22FA8" w:rsidP="00220490">
      <w:pPr>
        <w:rPr>
          <w:b/>
          <w:szCs w:val="24"/>
          <w:lang w:val="en-CA"/>
        </w:rPr>
      </w:pPr>
      <w:r w:rsidRPr="00BC6CE5">
        <w:rPr>
          <w:b/>
          <w:szCs w:val="24"/>
          <w:lang w:val="en-CA"/>
        </w:rPr>
        <w:t xml:space="preserve">— AND — </w:t>
      </w:r>
    </w:p>
    <w:p w:rsidR="00C22FA8" w:rsidRPr="00BC6CE5" w:rsidRDefault="00C22FA8" w:rsidP="00220490">
      <w:pPr>
        <w:rPr>
          <w:szCs w:val="24"/>
          <w:lang w:val="en-CA"/>
        </w:rPr>
      </w:pPr>
    </w:p>
    <w:p w:rsidR="00C22FA8" w:rsidRPr="00BC6CE5" w:rsidRDefault="00793BC1" w:rsidP="00C22FA8">
      <w:pPr>
        <w:spacing w:before="120"/>
        <w:rPr>
          <w:b/>
          <w:szCs w:val="24"/>
          <w:lang w:val="en-CA"/>
        </w:rPr>
      </w:pPr>
      <w:r>
        <w:rPr>
          <w:b/>
          <w:szCs w:val="24"/>
          <w:lang w:val="en-CA"/>
        </w:rPr>
        <w:t>DAVID LIVINGSTON</w:t>
      </w:r>
    </w:p>
    <w:p w:rsidR="00C22FA8" w:rsidRPr="00BC6CE5" w:rsidRDefault="00C22FA8" w:rsidP="00220490">
      <w:pPr>
        <w:rPr>
          <w:szCs w:val="24"/>
          <w:lang w:val="en-CA"/>
        </w:rPr>
      </w:pPr>
    </w:p>
    <w:p w:rsidR="00C22FA8" w:rsidRPr="00BC6CE5" w:rsidRDefault="00C22FA8" w:rsidP="00220490">
      <w:pPr>
        <w:rPr>
          <w:szCs w:val="24"/>
          <w:lang w:val="en-CA"/>
        </w:rPr>
      </w:pPr>
    </w:p>
    <w:p w:rsidR="001A590B" w:rsidRPr="00177994" w:rsidRDefault="001A590B" w:rsidP="001A590B">
      <w:pPr>
        <w:pBdr>
          <w:top w:val="single" w:sz="24" w:space="1" w:color="auto"/>
        </w:pBdr>
        <w:rPr>
          <w:sz w:val="18"/>
          <w:szCs w:val="18"/>
          <w:lang w:val="en-CA"/>
        </w:rPr>
      </w:pPr>
    </w:p>
    <w:p w:rsidR="00C22FA8" w:rsidRPr="004A2A97" w:rsidRDefault="00C22FA8" w:rsidP="00E51F78">
      <w:pPr>
        <w:jc w:val="center"/>
        <w:rPr>
          <w:b/>
          <w:lang w:val="en-CA"/>
        </w:rPr>
      </w:pPr>
      <w:r w:rsidRPr="004A2A97">
        <w:rPr>
          <w:b/>
          <w:lang w:val="en-CA"/>
        </w:rPr>
        <w:t xml:space="preserve">Before Justice </w:t>
      </w:r>
      <w:r w:rsidR="003B2292" w:rsidRPr="004A2A97">
        <w:rPr>
          <w:b/>
          <w:lang w:val="en-CA"/>
        </w:rPr>
        <w:t>T. R. Lipson</w:t>
      </w:r>
    </w:p>
    <w:p w:rsidR="00C22FA8" w:rsidRPr="004A2A97" w:rsidRDefault="003B2292" w:rsidP="00C22FA8">
      <w:pPr>
        <w:jc w:val="center"/>
        <w:rPr>
          <w:b/>
          <w:lang w:val="en-CA"/>
        </w:rPr>
      </w:pPr>
      <w:r w:rsidRPr="004A2A97">
        <w:rPr>
          <w:b/>
          <w:lang w:val="en-CA"/>
        </w:rPr>
        <w:t>Reasons for Sentence</w:t>
      </w:r>
      <w:r w:rsidR="00C22FA8" w:rsidRPr="004A2A97">
        <w:rPr>
          <w:b/>
          <w:lang w:val="en-CA"/>
        </w:rPr>
        <w:t xml:space="preserve"> released on </w:t>
      </w:r>
      <w:r w:rsidRPr="004A2A97">
        <w:rPr>
          <w:b/>
          <w:lang w:val="en-CA"/>
        </w:rPr>
        <w:t>A</w:t>
      </w:r>
      <w:r w:rsidR="00BF0BE9" w:rsidRPr="004A2A97">
        <w:rPr>
          <w:b/>
          <w:lang w:val="en-CA"/>
        </w:rPr>
        <w:t>pril 11, 2018</w:t>
      </w:r>
    </w:p>
    <w:p w:rsidR="001A590B" w:rsidRPr="00177994" w:rsidRDefault="001A590B" w:rsidP="001A590B">
      <w:pPr>
        <w:pBdr>
          <w:bottom w:val="single" w:sz="24" w:space="1" w:color="auto"/>
        </w:pBdr>
        <w:jc w:val="center"/>
        <w:rPr>
          <w:sz w:val="18"/>
          <w:szCs w:val="18"/>
          <w:lang w:val="en-CA"/>
        </w:rPr>
      </w:pPr>
    </w:p>
    <w:p w:rsidR="001A590B" w:rsidRPr="00177994" w:rsidRDefault="001A590B" w:rsidP="007C6517">
      <w:pPr>
        <w:rPr>
          <w:sz w:val="18"/>
          <w:lang w:val="en-CA"/>
        </w:rPr>
      </w:pPr>
    </w:p>
    <w:p w:rsidR="001A590B" w:rsidRPr="004A2A97" w:rsidRDefault="00BF0BE9" w:rsidP="007C6517">
      <w:pPr>
        <w:tabs>
          <w:tab w:val="right" w:leader="dot" w:pos="9360"/>
        </w:tabs>
        <w:rPr>
          <w:b/>
          <w:lang w:val="en-CA"/>
        </w:rPr>
      </w:pPr>
      <w:r w:rsidRPr="004A2A97">
        <w:rPr>
          <w:b/>
          <w:lang w:val="en-CA"/>
        </w:rPr>
        <w:t>T. Lemon, S. Egan and I. Bell</w:t>
      </w:r>
      <w:r w:rsidR="00962E97" w:rsidRPr="004A2A97">
        <w:rPr>
          <w:b/>
          <w:lang w:val="en-CA"/>
        </w:rPr>
        <w:tab/>
        <w:t>counsel for the C</w:t>
      </w:r>
      <w:r w:rsidR="00B20C95" w:rsidRPr="004A2A97">
        <w:rPr>
          <w:b/>
          <w:lang w:val="en-CA"/>
        </w:rPr>
        <w:t>rown</w:t>
      </w:r>
    </w:p>
    <w:p w:rsidR="004F6630" w:rsidRPr="004A2A97" w:rsidRDefault="00BF0BE9" w:rsidP="004A2A97">
      <w:pPr>
        <w:tabs>
          <w:tab w:val="right" w:leader="dot" w:pos="9360"/>
        </w:tabs>
        <w:rPr>
          <w:b/>
          <w:lang w:val="en-CA"/>
        </w:rPr>
      </w:pPr>
      <w:r w:rsidRPr="004A2A97">
        <w:rPr>
          <w:b/>
          <w:lang w:val="en-CA"/>
        </w:rPr>
        <w:t>B. Gover, F. Schumann and P. Hrick</w:t>
      </w:r>
      <w:r w:rsidR="00B20C95" w:rsidRPr="004A2A97">
        <w:rPr>
          <w:b/>
          <w:lang w:val="en-CA"/>
        </w:rPr>
        <w:tab/>
      </w:r>
      <w:r w:rsidR="002D7618" w:rsidRPr="004A2A97">
        <w:rPr>
          <w:b/>
          <w:lang w:val="en-CA"/>
        </w:rPr>
        <w:t>……………………counsel for David Livingston</w:t>
      </w:r>
      <w:r w:rsidR="00E91F95" w:rsidRPr="004A2A97">
        <w:rPr>
          <w:b/>
          <w:lang w:val="en-CA"/>
        </w:rPr>
        <w:t xml:space="preserve"> </w:t>
      </w:r>
      <w:r w:rsidR="004355F7" w:rsidRPr="004A2A97">
        <w:rPr>
          <w:b/>
          <w:lang w:val="en-CA"/>
        </w:rPr>
        <w:t xml:space="preserve"> </w:t>
      </w:r>
      <w:r w:rsidR="002D7618" w:rsidRPr="004A2A97">
        <w:rPr>
          <w:b/>
          <w:lang w:val="en-CA"/>
        </w:rPr>
        <w:t xml:space="preserve">                </w:t>
      </w:r>
    </w:p>
    <w:p w:rsidR="005779D8" w:rsidRPr="004A2A97" w:rsidRDefault="005779D8" w:rsidP="007C6517">
      <w:pPr>
        <w:pBdr>
          <w:bottom w:val="single" w:sz="24" w:space="1" w:color="auto"/>
        </w:pBdr>
        <w:tabs>
          <w:tab w:val="right" w:leader="dot" w:pos="9360"/>
        </w:tabs>
        <w:rPr>
          <w:sz w:val="18"/>
          <w:highlight w:val="yellow"/>
          <w:lang w:val="en-CA"/>
        </w:rPr>
      </w:pPr>
    </w:p>
    <w:p w:rsidR="00EC74CB" w:rsidRDefault="00A55483" w:rsidP="00EC74CB">
      <w:pPr>
        <w:spacing w:before="480"/>
        <w:rPr>
          <w:b/>
          <w:lang w:val="en-CA"/>
        </w:rPr>
      </w:pPr>
      <w:r>
        <w:rPr>
          <w:b/>
          <w:lang w:val="en-CA"/>
        </w:rPr>
        <w:t>LIPSON</w:t>
      </w:r>
      <w:r w:rsidR="007C6517" w:rsidRPr="00BC6CE5">
        <w:rPr>
          <w:b/>
          <w:lang w:val="en-CA"/>
        </w:rPr>
        <w:t xml:space="preserve"> J.:</w:t>
      </w:r>
    </w:p>
    <w:p w:rsidR="00BD1F9D" w:rsidRPr="00EC74CB" w:rsidRDefault="00BD1F9D" w:rsidP="00EC74CB">
      <w:pPr>
        <w:spacing w:before="480"/>
        <w:jc w:val="center"/>
        <w:rPr>
          <w:b/>
          <w:lang w:val="en-CA"/>
        </w:rPr>
      </w:pPr>
      <w:r w:rsidRPr="00EC74CB">
        <w:rPr>
          <w:b/>
          <w:u w:val="single"/>
          <w:lang w:val="en-CA"/>
        </w:rPr>
        <w:t>REASONS FOR SENTENCE</w:t>
      </w:r>
    </w:p>
    <w:p w:rsidR="007C6517" w:rsidRPr="001418B7" w:rsidRDefault="00B16752" w:rsidP="006D7EF2">
      <w:pPr>
        <w:pStyle w:val="MAINPARAGRAPH"/>
        <w:rPr>
          <w:sz w:val="26"/>
          <w:lang w:val="en-CA"/>
        </w:rPr>
      </w:pPr>
      <w:r>
        <w:rPr>
          <w:sz w:val="26"/>
          <w:lang w:val="en-CA"/>
        </w:rPr>
        <w:t xml:space="preserve">Following a trial, </w:t>
      </w:r>
      <w:r w:rsidR="005E44C6" w:rsidRPr="001418B7">
        <w:rPr>
          <w:sz w:val="26"/>
          <w:lang w:val="en-CA"/>
        </w:rPr>
        <w:t xml:space="preserve">Mr. Livingston </w:t>
      </w:r>
      <w:r>
        <w:rPr>
          <w:sz w:val="26"/>
          <w:lang w:val="en-CA"/>
        </w:rPr>
        <w:t>was found guilty of one</w:t>
      </w:r>
      <w:r w:rsidR="00B80F94" w:rsidRPr="001418B7">
        <w:rPr>
          <w:sz w:val="26"/>
          <w:lang w:val="en-CA"/>
        </w:rPr>
        <w:t xml:space="preserve"> count of </w:t>
      </w:r>
      <w:r w:rsidR="00A07F03">
        <w:rPr>
          <w:sz w:val="26"/>
          <w:lang w:val="en-CA"/>
        </w:rPr>
        <w:t>Attempt to Commit</w:t>
      </w:r>
      <w:r w:rsidR="0033149A" w:rsidRPr="001418B7">
        <w:rPr>
          <w:sz w:val="26"/>
          <w:lang w:val="en-CA"/>
        </w:rPr>
        <w:t xml:space="preserve"> Mischief to D</w:t>
      </w:r>
      <w:r w:rsidR="005C43C3" w:rsidRPr="001418B7">
        <w:rPr>
          <w:sz w:val="26"/>
          <w:lang w:val="en-CA"/>
        </w:rPr>
        <w:t>ata</w:t>
      </w:r>
      <w:r w:rsidR="00DE70F1" w:rsidRPr="001418B7">
        <w:rPr>
          <w:sz w:val="26"/>
          <w:lang w:val="en-CA"/>
        </w:rPr>
        <w:t xml:space="preserve">, contrary to s. 430(5)(a) of the </w:t>
      </w:r>
      <w:r w:rsidR="00DE70F1" w:rsidRPr="001418B7">
        <w:rPr>
          <w:i/>
          <w:sz w:val="26"/>
          <w:lang w:val="en-CA"/>
        </w:rPr>
        <w:t>Criminal Code</w:t>
      </w:r>
      <w:r>
        <w:rPr>
          <w:sz w:val="26"/>
          <w:lang w:val="en-CA"/>
        </w:rPr>
        <w:t>,</w:t>
      </w:r>
      <w:r w:rsidR="005C43C3" w:rsidRPr="001418B7">
        <w:rPr>
          <w:sz w:val="26"/>
          <w:lang w:val="en-CA"/>
        </w:rPr>
        <w:t xml:space="preserve"> and one count of </w:t>
      </w:r>
      <w:r w:rsidR="0033149A" w:rsidRPr="001418B7">
        <w:rPr>
          <w:sz w:val="26"/>
          <w:lang w:val="en-CA"/>
        </w:rPr>
        <w:t>Unauthorized Use of a C</w:t>
      </w:r>
      <w:r w:rsidR="00DE70F1" w:rsidRPr="001418B7">
        <w:rPr>
          <w:sz w:val="26"/>
          <w:lang w:val="en-CA"/>
        </w:rPr>
        <w:t>omputer, contrary to s. 342.1</w:t>
      </w:r>
      <w:r w:rsidR="009B48ED" w:rsidRPr="001418B7">
        <w:rPr>
          <w:sz w:val="26"/>
          <w:lang w:val="en-CA"/>
        </w:rPr>
        <w:t>.</w:t>
      </w:r>
    </w:p>
    <w:p w:rsidR="0084245C" w:rsidRPr="001418B7" w:rsidRDefault="0084245C" w:rsidP="006D7EF2">
      <w:pPr>
        <w:pStyle w:val="MAINPARAGRAPH"/>
        <w:rPr>
          <w:sz w:val="26"/>
          <w:lang w:val="en-CA"/>
        </w:rPr>
      </w:pPr>
      <w:r w:rsidRPr="001418B7">
        <w:rPr>
          <w:sz w:val="26"/>
          <w:lang w:val="en-CA"/>
        </w:rPr>
        <w:t>These two offences arise from the same acts and con</w:t>
      </w:r>
      <w:r w:rsidR="004E1FA5" w:rsidRPr="001418B7">
        <w:rPr>
          <w:sz w:val="26"/>
          <w:lang w:val="en-CA"/>
        </w:rPr>
        <w:t xml:space="preserve">stitute a single wrong or delict. </w:t>
      </w:r>
      <w:r w:rsidR="005F29A6" w:rsidRPr="001418B7">
        <w:rPr>
          <w:sz w:val="26"/>
          <w:lang w:val="en-CA"/>
        </w:rPr>
        <w:t>In their submissions on</w:t>
      </w:r>
      <w:r w:rsidR="002076E4">
        <w:rPr>
          <w:sz w:val="26"/>
          <w:lang w:val="en-CA"/>
        </w:rPr>
        <w:t xml:space="preserve"> sentence, both parties contend </w:t>
      </w:r>
      <w:r w:rsidR="004E1FA5" w:rsidRPr="001418B7">
        <w:rPr>
          <w:sz w:val="26"/>
          <w:lang w:val="en-CA"/>
        </w:rPr>
        <w:t>that the rule against multiple convictions require</w:t>
      </w:r>
      <w:r w:rsidR="005F29A6" w:rsidRPr="001418B7">
        <w:rPr>
          <w:sz w:val="26"/>
          <w:lang w:val="en-CA"/>
        </w:rPr>
        <w:t>s</w:t>
      </w:r>
      <w:r w:rsidR="004E1FA5" w:rsidRPr="001418B7">
        <w:rPr>
          <w:sz w:val="26"/>
          <w:lang w:val="en-CA"/>
        </w:rPr>
        <w:t xml:space="preserve"> that a conditional stay be entered on the less serious count</w:t>
      </w:r>
      <w:r w:rsidR="0033149A" w:rsidRPr="001418B7">
        <w:rPr>
          <w:sz w:val="26"/>
          <w:lang w:val="en-CA"/>
        </w:rPr>
        <w:t xml:space="preserve"> of Attempt to Commit Mischief to D</w:t>
      </w:r>
      <w:r w:rsidR="00796B99" w:rsidRPr="001418B7">
        <w:rPr>
          <w:sz w:val="26"/>
          <w:lang w:val="en-CA"/>
        </w:rPr>
        <w:t xml:space="preserve">ata. </w:t>
      </w:r>
      <w:r w:rsidR="008F0856" w:rsidRPr="001418B7">
        <w:rPr>
          <w:sz w:val="26"/>
          <w:lang w:val="en-CA"/>
        </w:rPr>
        <w:t>I agree. A c</w:t>
      </w:r>
      <w:r w:rsidR="00A07F03">
        <w:rPr>
          <w:sz w:val="26"/>
          <w:lang w:val="en-CA"/>
        </w:rPr>
        <w:t xml:space="preserve">onditional stay is entered </w:t>
      </w:r>
      <w:r w:rsidR="008F0856" w:rsidRPr="001418B7">
        <w:rPr>
          <w:sz w:val="26"/>
          <w:lang w:val="en-CA"/>
        </w:rPr>
        <w:t>on that count.</w:t>
      </w:r>
    </w:p>
    <w:p w:rsidR="003A55EF" w:rsidRPr="001418B7" w:rsidRDefault="00E62EF5" w:rsidP="006D7EF2">
      <w:pPr>
        <w:pStyle w:val="MAINPARAGRAPH"/>
        <w:rPr>
          <w:sz w:val="26"/>
          <w:lang w:val="en-CA"/>
        </w:rPr>
      </w:pPr>
      <w:r w:rsidRPr="001418B7">
        <w:rPr>
          <w:sz w:val="26"/>
          <w:lang w:val="en-CA"/>
        </w:rPr>
        <w:t xml:space="preserve">On the remaining </w:t>
      </w:r>
      <w:r w:rsidR="0033149A" w:rsidRPr="001418B7">
        <w:rPr>
          <w:sz w:val="26"/>
          <w:lang w:val="en-CA"/>
        </w:rPr>
        <w:t>count of Unauthorized Use of a C</w:t>
      </w:r>
      <w:r w:rsidRPr="001418B7">
        <w:rPr>
          <w:sz w:val="26"/>
          <w:lang w:val="en-CA"/>
        </w:rPr>
        <w:t>omputer,</w:t>
      </w:r>
      <w:r w:rsidR="00EC4648" w:rsidRPr="001418B7">
        <w:rPr>
          <w:sz w:val="26"/>
          <w:lang w:val="en-CA"/>
        </w:rPr>
        <w:t xml:space="preserve"> the Crown seeks a </w:t>
      </w:r>
      <w:r w:rsidR="00A26C67" w:rsidRPr="001418B7">
        <w:rPr>
          <w:sz w:val="26"/>
          <w:lang w:val="en-CA"/>
        </w:rPr>
        <w:t>term</w:t>
      </w:r>
      <w:r w:rsidR="00C44788" w:rsidRPr="001418B7">
        <w:rPr>
          <w:sz w:val="26"/>
          <w:lang w:val="en-CA"/>
        </w:rPr>
        <w:t xml:space="preserve"> of imprisonment</w:t>
      </w:r>
      <w:r w:rsidR="00A26C67" w:rsidRPr="001418B7">
        <w:rPr>
          <w:sz w:val="26"/>
          <w:lang w:val="en-CA"/>
        </w:rPr>
        <w:t xml:space="preserve"> in</w:t>
      </w:r>
      <w:r w:rsidR="003940D9" w:rsidRPr="001418B7">
        <w:rPr>
          <w:sz w:val="26"/>
          <w:lang w:val="en-CA"/>
        </w:rPr>
        <w:t xml:space="preserve"> the</w:t>
      </w:r>
      <w:r w:rsidR="00C44788" w:rsidRPr="001418B7">
        <w:rPr>
          <w:sz w:val="26"/>
          <w:lang w:val="en-CA"/>
        </w:rPr>
        <w:t xml:space="preserve"> six to twelve month range</w:t>
      </w:r>
      <w:r w:rsidR="005402A5">
        <w:rPr>
          <w:sz w:val="26"/>
          <w:lang w:val="en-CA"/>
        </w:rPr>
        <w:t>,</w:t>
      </w:r>
      <w:r w:rsidR="00327683" w:rsidRPr="001418B7">
        <w:rPr>
          <w:sz w:val="26"/>
          <w:lang w:val="en-CA"/>
        </w:rPr>
        <w:t xml:space="preserve"> while the</w:t>
      </w:r>
      <w:r w:rsidRPr="001418B7">
        <w:rPr>
          <w:sz w:val="26"/>
          <w:lang w:val="en-CA"/>
        </w:rPr>
        <w:t xml:space="preserve"> defence submits</w:t>
      </w:r>
      <w:r w:rsidR="001D5012" w:rsidRPr="001418B7">
        <w:rPr>
          <w:sz w:val="26"/>
          <w:lang w:val="en-CA"/>
        </w:rPr>
        <w:t xml:space="preserve"> that a conditional discharge is the fit and appropriate sentence</w:t>
      </w:r>
      <w:r w:rsidR="00AA677A" w:rsidRPr="001418B7">
        <w:rPr>
          <w:sz w:val="26"/>
          <w:lang w:val="en-CA"/>
        </w:rPr>
        <w:t>.</w:t>
      </w:r>
    </w:p>
    <w:p w:rsidR="001C304F" w:rsidRPr="001418B7" w:rsidRDefault="00BE4EAE" w:rsidP="00DE39F4">
      <w:pPr>
        <w:pStyle w:val="MAINPARAGRAPH"/>
        <w:numPr>
          <w:ilvl w:val="0"/>
          <w:numId w:val="0"/>
        </w:numPr>
        <w:rPr>
          <w:b/>
          <w:sz w:val="26"/>
          <w:u w:val="single"/>
          <w:lang w:val="en-CA"/>
        </w:rPr>
      </w:pPr>
      <w:r w:rsidRPr="001418B7">
        <w:rPr>
          <w:b/>
          <w:sz w:val="26"/>
          <w:u w:val="single"/>
          <w:lang w:val="en-CA"/>
        </w:rPr>
        <w:t>Circumstances of the Offence and the Offender</w:t>
      </w:r>
    </w:p>
    <w:p w:rsidR="005B2526" w:rsidRPr="001418B7" w:rsidRDefault="00233176" w:rsidP="005C4EB7">
      <w:pPr>
        <w:pStyle w:val="MAINPARAGRAPH"/>
        <w:rPr>
          <w:b/>
          <w:sz w:val="26"/>
          <w:lang w:val="en-CA"/>
        </w:rPr>
      </w:pPr>
      <w:r w:rsidRPr="001418B7">
        <w:rPr>
          <w:sz w:val="26"/>
          <w:lang w:val="en-CA"/>
        </w:rPr>
        <w:t>Between May 2012 and February 2013, Mr. Livingston was Chief of</w:t>
      </w:r>
      <w:r w:rsidR="00233C48" w:rsidRPr="001418B7">
        <w:rPr>
          <w:sz w:val="26"/>
          <w:lang w:val="en-CA"/>
        </w:rPr>
        <w:t xml:space="preserve"> Staff in the Office of the Premier </w:t>
      </w:r>
      <w:r w:rsidR="008043C3">
        <w:rPr>
          <w:sz w:val="26"/>
          <w:lang w:val="en-CA"/>
        </w:rPr>
        <w:t xml:space="preserve">of Ontario </w:t>
      </w:r>
      <w:r w:rsidR="00233C48" w:rsidRPr="001418B7">
        <w:rPr>
          <w:sz w:val="26"/>
          <w:lang w:val="en-CA"/>
        </w:rPr>
        <w:t>(OPO)</w:t>
      </w:r>
      <w:r w:rsidR="00A64B08" w:rsidRPr="001418B7">
        <w:rPr>
          <w:sz w:val="26"/>
          <w:lang w:val="en-CA"/>
        </w:rPr>
        <w:t>.</w:t>
      </w:r>
      <w:r w:rsidR="00E44860" w:rsidRPr="001418B7">
        <w:rPr>
          <w:sz w:val="26"/>
          <w:lang w:val="en-CA"/>
        </w:rPr>
        <w:t xml:space="preserve"> The evidence established beyond</w:t>
      </w:r>
      <w:r w:rsidR="00233C48" w:rsidRPr="001418B7">
        <w:rPr>
          <w:sz w:val="26"/>
          <w:lang w:val="en-CA"/>
        </w:rPr>
        <w:t xml:space="preserve"> a reasonable doubt that he and </w:t>
      </w:r>
      <w:r w:rsidR="00E44860" w:rsidRPr="001418B7">
        <w:rPr>
          <w:sz w:val="26"/>
          <w:lang w:val="en-CA"/>
        </w:rPr>
        <w:t xml:space="preserve">his Deputy Chief of Staff, Laura Miller, enlisted and </w:t>
      </w:r>
      <w:r w:rsidR="00E44860" w:rsidRPr="001418B7">
        <w:rPr>
          <w:sz w:val="26"/>
          <w:lang w:val="en-CA"/>
        </w:rPr>
        <w:lastRenderedPageBreak/>
        <w:t>directed</w:t>
      </w:r>
      <w:r w:rsidR="00496792" w:rsidRPr="001418B7">
        <w:rPr>
          <w:sz w:val="26"/>
          <w:lang w:val="en-CA"/>
        </w:rPr>
        <w:t xml:space="preserve"> Peter Faist,</w:t>
      </w:r>
      <w:r w:rsidR="00E44860" w:rsidRPr="001418B7">
        <w:rPr>
          <w:sz w:val="26"/>
          <w:lang w:val="en-CA"/>
        </w:rPr>
        <w:t xml:space="preserve"> Ms. Miller’s partner</w:t>
      </w:r>
      <w:r w:rsidR="00D7417A" w:rsidRPr="001418B7">
        <w:rPr>
          <w:sz w:val="26"/>
          <w:lang w:val="en-CA"/>
        </w:rPr>
        <w:t>,</w:t>
      </w:r>
      <w:r w:rsidR="00224660" w:rsidRPr="001418B7">
        <w:rPr>
          <w:sz w:val="26"/>
          <w:lang w:val="en-CA"/>
        </w:rPr>
        <w:t xml:space="preserve"> to wipe data from twenty computers in the Office of the Premier.</w:t>
      </w:r>
      <w:r w:rsidR="00BE4EAE" w:rsidRPr="001418B7">
        <w:rPr>
          <w:rStyle w:val="FootnoteReference"/>
          <w:sz w:val="26"/>
          <w:lang w:val="en-CA"/>
        </w:rPr>
        <w:footnoteReference w:id="1"/>
      </w:r>
      <w:r w:rsidR="00224660" w:rsidRPr="001418B7">
        <w:rPr>
          <w:sz w:val="26"/>
          <w:lang w:val="en-CA"/>
        </w:rPr>
        <w:t xml:space="preserve"> Mr. Livingston’s purpose was to e</w:t>
      </w:r>
      <w:r w:rsidR="00CA5AFE" w:rsidRPr="001418B7">
        <w:rPr>
          <w:sz w:val="26"/>
          <w:lang w:val="en-CA"/>
        </w:rPr>
        <w:t>nsure that no records</w:t>
      </w:r>
      <w:r w:rsidR="00EC5F48">
        <w:rPr>
          <w:sz w:val="26"/>
          <w:lang w:val="en-CA"/>
        </w:rPr>
        <w:t xml:space="preserve"> remained on those computers</w:t>
      </w:r>
      <w:r w:rsidR="00CA5AFE" w:rsidRPr="001418B7">
        <w:rPr>
          <w:sz w:val="26"/>
          <w:lang w:val="en-CA"/>
        </w:rPr>
        <w:t xml:space="preserve"> </w:t>
      </w:r>
      <w:r w:rsidR="005B2526" w:rsidRPr="001418B7">
        <w:rPr>
          <w:sz w:val="26"/>
          <w:lang w:val="en-CA"/>
        </w:rPr>
        <w:t xml:space="preserve">that were </w:t>
      </w:r>
      <w:r w:rsidR="00CA5AFE" w:rsidRPr="001418B7">
        <w:rPr>
          <w:sz w:val="26"/>
          <w:lang w:val="en-CA"/>
        </w:rPr>
        <w:t>responsive</w:t>
      </w:r>
      <w:r w:rsidR="00224660" w:rsidRPr="001418B7">
        <w:rPr>
          <w:sz w:val="26"/>
          <w:lang w:val="en-CA"/>
        </w:rPr>
        <w:t xml:space="preserve"> to either a </w:t>
      </w:r>
      <w:r w:rsidR="00224660" w:rsidRPr="001418B7">
        <w:rPr>
          <w:i/>
          <w:sz w:val="26"/>
          <w:lang w:val="en-CA"/>
        </w:rPr>
        <w:t>Freedom of Information</w:t>
      </w:r>
      <w:r w:rsidR="00E050AC" w:rsidRPr="001418B7">
        <w:rPr>
          <w:i/>
          <w:sz w:val="26"/>
          <w:lang w:val="en-CA"/>
        </w:rPr>
        <w:t xml:space="preserve"> and Protection of Privacy Act</w:t>
      </w:r>
      <w:r w:rsidR="00E050AC" w:rsidRPr="001418B7">
        <w:rPr>
          <w:sz w:val="26"/>
          <w:lang w:val="en-CA"/>
        </w:rPr>
        <w:t xml:space="preserve"> (FOI)</w:t>
      </w:r>
      <w:r w:rsidR="00224660" w:rsidRPr="001418B7">
        <w:rPr>
          <w:sz w:val="26"/>
          <w:lang w:val="en-CA"/>
        </w:rPr>
        <w:t xml:space="preserve"> request or</w:t>
      </w:r>
      <w:r w:rsidR="00101BFC" w:rsidRPr="001418B7">
        <w:rPr>
          <w:sz w:val="26"/>
          <w:lang w:val="en-CA"/>
        </w:rPr>
        <w:t xml:space="preserve"> a future Production Order of</w:t>
      </w:r>
      <w:r w:rsidR="00A05867" w:rsidRPr="001418B7">
        <w:rPr>
          <w:sz w:val="26"/>
          <w:lang w:val="en-CA"/>
        </w:rPr>
        <w:t xml:space="preserve"> a Standing Committee of the Legislature</w:t>
      </w:r>
      <w:r w:rsidR="00101BFC" w:rsidRPr="001418B7">
        <w:rPr>
          <w:sz w:val="26"/>
          <w:lang w:val="en-CA"/>
        </w:rPr>
        <w:t xml:space="preserve"> inquiring into the gas plant</w:t>
      </w:r>
      <w:r w:rsidR="00EC5F48">
        <w:rPr>
          <w:sz w:val="26"/>
          <w:lang w:val="en-CA"/>
        </w:rPr>
        <w:t xml:space="preserve"> controvers</w:t>
      </w:r>
      <w:r w:rsidR="00456691">
        <w:rPr>
          <w:sz w:val="26"/>
          <w:lang w:val="en-CA"/>
        </w:rPr>
        <w:t>y</w:t>
      </w:r>
      <w:r w:rsidR="00A05867" w:rsidRPr="001418B7">
        <w:rPr>
          <w:sz w:val="26"/>
          <w:lang w:val="en-CA"/>
        </w:rPr>
        <w:t>.</w:t>
      </w:r>
      <w:r w:rsidR="00496792" w:rsidRPr="001418B7">
        <w:rPr>
          <w:sz w:val="26"/>
          <w:lang w:val="en-CA"/>
        </w:rPr>
        <w:t xml:space="preserve"> </w:t>
      </w:r>
    </w:p>
    <w:p w:rsidR="005F08A8" w:rsidRPr="005F08A8" w:rsidRDefault="00496792" w:rsidP="005C4EB7">
      <w:pPr>
        <w:pStyle w:val="MAINPARAGRAPH"/>
        <w:rPr>
          <w:b/>
          <w:sz w:val="26"/>
          <w:lang w:val="en-CA"/>
        </w:rPr>
      </w:pPr>
      <w:r w:rsidRPr="001418B7">
        <w:rPr>
          <w:sz w:val="26"/>
          <w:lang w:val="en-CA"/>
        </w:rPr>
        <w:t>The hard drives and the data</w:t>
      </w:r>
      <w:r w:rsidR="000006B3">
        <w:rPr>
          <w:sz w:val="26"/>
          <w:lang w:val="en-CA"/>
        </w:rPr>
        <w:t xml:space="preserve"> on them </w:t>
      </w:r>
      <w:r w:rsidRPr="001418B7">
        <w:rPr>
          <w:sz w:val="26"/>
          <w:lang w:val="en-CA"/>
        </w:rPr>
        <w:t>pertaining to government business were the property of the government of Ontario</w:t>
      </w:r>
      <w:r w:rsidR="00900E54" w:rsidRPr="001418B7">
        <w:rPr>
          <w:sz w:val="26"/>
          <w:lang w:val="en-CA"/>
        </w:rPr>
        <w:t>. The wiping done by Mr. Fa</w:t>
      </w:r>
      <w:r w:rsidR="005402A5">
        <w:rPr>
          <w:sz w:val="26"/>
          <w:lang w:val="en-CA"/>
        </w:rPr>
        <w:t>ist was indiscriminate. A</w:t>
      </w:r>
      <w:r w:rsidR="00EC43E8" w:rsidRPr="001418B7">
        <w:rPr>
          <w:sz w:val="26"/>
          <w:lang w:val="en-CA"/>
        </w:rPr>
        <w:t>ny files existing on</w:t>
      </w:r>
      <w:r w:rsidR="00B46942" w:rsidRPr="001418B7">
        <w:rPr>
          <w:sz w:val="26"/>
          <w:lang w:val="en-CA"/>
        </w:rPr>
        <w:t xml:space="preserve"> those hard drives would have been</w:t>
      </w:r>
      <w:r w:rsidR="00900E54" w:rsidRPr="001418B7">
        <w:rPr>
          <w:sz w:val="26"/>
          <w:lang w:val="en-CA"/>
        </w:rPr>
        <w:t xml:space="preserve"> eliminated without regard to content or</w:t>
      </w:r>
      <w:r w:rsidR="005B2526" w:rsidRPr="001418B7">
        <w:rPr>
          <w:sz w:val="26"/>
          <w:lang w:val="en-CA"/>
        </w:rPr>
        <w:t xml:space="preserve"> record-keeping obligations. </w:t>
      </w:r>
      <w:r w:rsidR="00456691">
        <w:rPr>
          <w:sz w:val="26"/>
          <w:lang w:val="en-CA"/>
        </w:rPr>
        <w:t xml:space="preserve"> There was no evidence led as to what records, if any, we</w:t>
      </w:r>
      <w:r w:rsidR="00DA3EA9">
        <w:rPr>
          <w:sz w:val="26"/>
          <w:lang w:val="en-CA"/>
        </w:rPr>
        <w:t>re</w:t>
      </w:r>
      <w:r w:rsidR="00456691">
        <w:rPr>
          <w:sz w:val="26"/>
          <w:lang w:val="en-CA"/>
        </w:rPr>
        <w:t xml:space="preserve"> wiped from those hard drives.</w:t>
      </w:r>
    </w:p>
    <w:p w:rsidR="005C4EB7" w:rsidRPr="001418B7" w:rsidRDefault="00456691" w:rsidP="005C4EB7">
      <w:pPr>
        <w:pStyle w:val="MAINPARAGRAPH"/>
        <w:rPr>
          <w:b/>
          <w:sz w:val="26"/>
          <w:lang w:val="en-CA"/>
        </w:rPr>
      </w:pPr>
      <w:r w:rsidRPr="001418B7">
        <w:rPr>
          <w:sz w:val="26"/>
          <w:lang w:val="en-CA"/>
        </w:rPr>
        <w:t xml:space="preserve"> </w:t>
      </w:r>
      <w:r w:rsidR="008D4131" w:rsidRPr="001418B7">
        <w:rPr>
          <w:sz w:val="26"/>
          <w:lang w:val="en-CA"/>
        </w:rPr>
        <w:t>I</w:t>
      </w:r>
      <w:r w:rsidR="00EC47DE" w:rsidRPr="001418B7">
        <w:rPr>
          <w:sz w:val="26"/>
          <w:lang w:val="en-CA"/>
        </w:rPr>
        <w:t xml:space="preserve"> found that Mr. Livingston deceived the Secretary of Cabinet, Peter Wallace, into gr</w:t>
      </w:r>
      <w:r w:rsidR="000D23EC" w:rsidRPr="001418B7">
        <w:rPr>
          <w:sz w:val="26"/>
          <w:lang w:val="en-CA"/>
        </w:rPr>
        <w:t>anting him administrative access to the computers</w:t>
      </w:r>
      <w:r w:rsidR="00EC43E8" w:rsidRPr="001418B7">
        <w:rPr>
          <w:sz w:val="26"/>
          <w:lang w:val="en-CA"/>
        </w:rPr>
        <w:t xml:space="preserve"> in the OPO</w:t>
      </w:r>
      <w:r w:rsidR="009443DA" w:rsidRPr="001418B7">
        <w:rPr>
          <w:sz w:val="26"/>
          <w:lang w:val="en-CA"/>
        </w:rPr>
        <w:t xml:space="preserve">. </w:t>
      </w:r>
      <w:r w:rsidR="00205460">
        <w:rPr>
          <w:sz w:val="26"/>
          <w:lang w:val="en-CA"/>
        </w:rPr>
        <w:t>The defendant misled Mr. Wallace by telling him that</w:t>
      </w:r>
      <w:r w:rsidR="008D4131" w:rsidRPr="001418B7">
        <w:rPr>
          <w:sz w:val="26"/>
          <w:lang w:val="en-CA"/>
        </w:rPr>
        <w:t xml:space="preserve"> </w:t>
      </w:r>
      <w:r w:rsidR="00616BEA" w:rsidRPr="001418B7">
        <w:rPr>
          <w:sz w:val="26"/>
          <w:lang w:val="en-CA"/>
        </w:rPr>
        <w:t>he wanted to delete</w:t>
      </w:r>
      <w:r w:rsidR="005F08A8">
        <w:rPr>
          <w:sz w:val="26"/>
          <w:lang w:val="en-CA"/>
        </w:rPr>
        <w:t xml:space="preserve"> only</w:t>
      </w:r>
      <w:r w:rsidR="00616BEA" w:rsidRPr="001418B7">
        <w:rPr>
          <w:sz w:val="26"/>
          <w:lang w:val="en-CA"/>
        </w:rPr>
        <w:t xml:space="preserve"> personal information</w:t>
      </w:r>
      <w:r w:rsidR="00B46942" w:rsidRPr="001418B7">
        <w:rPr>
          <w:sz w:val="26"/>
          <w:lang w:val="en-CA"/>
        </w:rPr>
        <w:t xml:space="preserve">. </w:t>
      </w:r>
      <w:r w:rsidR="007E43FC" w:rsidRPr="001418B7">
        <w:rPr>
          <w:sz w:val="26"/>
          <w:lang w:val="en-CA"/>
        </w:rPr>
        <w:t>Mr. Livingston’s</w:t>
      </w:r>
      <w:r w:rsidR="00B46942" w:rsidRPr="001418B7">
        <w:rPr>
          <w:sz w:val="26"/>
          <w:lang w:val="en-CA"/>
        </w:rPr>
        <w:t xml:space="preserve"> true</w:t>
      </w:r>
      <w:r w:rsidR="00EC147C" w:rsidRPr="001418B7">
        <w:rPr>
          <w:sz w:val="26"/>
          <w:lang w:val="en-CA"/>
        </w:rPr>
        <w:t xml:space="preserve"> plan was to eliminate sensitive and confidential</w:t>
      </w:r>
      <w:r w:rsidR="00C20911">
        <w:rPr>
          <w:sz w:val="26"/>
          <w:lang w:val="en-CA"/>
        </w:rPr>
        <w:t xml:space="preserve"> work-related data. Using</w:t>
      </w:r>
      <w:r w:rsidR="00EC147C" w:rsidRPr="001418B7">
        <w:rPr>
          <w:sz w:val="26"/>
          <w:lang w:val="en-CA"/>
        </w:rPr>
        <w:t xml:space="preserve"> Mr. Faist</w:t>
      </w:r>
      <w:r w:rsidR="005F00F7" w:rsidRPr="001418B7">
        <w:rPr>
          <w:sz w:val="26"/>
          <w:lang w:val="en-CA"/>
        </w:rPr>
        <w:t xml:space="preserve">, a non-Ontario Public </w:t>
      </w:r>
      <w:r w:rsidR="00830945" w:rsidRPr="001418B7">
        <w:rPr>
          <w:sz w:val="26"/>
          <w:lang w:val="en-CA"/>
        </w:rPr>
        <w:t>Service</w:t>
      </w:r>
      <w:r w:rsidR="00243BAB" w:rsidRPr="001418B7">
        <w:rPr>
          <w:sz w:val="26"/>
          <w:lang w:val="en-CA"/>
        </w:rPr>
        <w:t xml:space="preserve"> IT consultant, he </w:t>
      </w:r>
      <w:r w:rsidR="005F00F7" w:rsidRPr="001418B7">
        <w:rPr>
          <w:sz w:val="26"/>
          <w:lang w:val="en-CA"/>
        </w:rPr>
        <w:t xml:space="preserve">attempted to destroy </w:t>
      </w:r>
      <w:r w:rsidR="00125A3B" w:rsidRPr="001418B7">
        <w:rPr>
          <w:sz w:val="26"/>
          <w:lang w:val="en-CA"/>
        </w:rPr>
        <w:t xml:space="preserve">data on the hard drives of </w:t>
      </w:r>
      <w:r w:rsidR="008D4131" w:rsidRPr="001418B7">
        <w:rPr>
          <w:sz w:val="26"/>
          <w:lang w:val="en-CA"/>
        </w:rPr>
        <w:t xml:space="preserve">other </w:t>
      </w:r>
      <w:r w:rsidR="00125A3B" w:rsidRPr="001418B7">
        <w:rPr>
          <w:sz w:val="26"/>
          <w:lang w:val="en-CA"/>
        </w:rPr>
        <w:t xml:space="preserve">colleagues who could have saved copies of </w:t>
      </w:r>
      <w:r w:rsidR="00580066">
        <w:rPr>
          <w:sz w:val="26"/>
          <w:lang w:val="en-CA"/>
        </w:rPr>
        <w:t>e-mail</w:t>
      </w:r>
      <w:r w:rsidR="00125A3B" w:rsidRPr="001418B7">
        <w:rPr>
          <w:sz w:val="26"/>
          <w:lang w:val="en-CA"/>
        </w:rPr>
        <w:t>s or atta</w:t>
      </w:r>
      <w:r w:rsidR="00EA0351" w:rsidRPr="001418B7">
        <w:rPr>
          <w:sz w:val="26"/>
          <w:lang w:val="en-CA"/>
        </w:rPr>
        <w:t>chments on their computers</w:t>
      </w:r>
      <w:r w:rsidR="00380BA8">
        <w:rPr>
          <w:sz w:val="26"/>
          <w:lang w:val="en-CA"/>
        </w:rPr>
        <w:t>. At that time</w:t>
      </w:r>
      <w:r w:rsidR="00125A3B" w:rsidRPr="001418B7">
        <w:rPr>
          <w:sz w:val="26"/>
          <w:lang w:val="en-CA"/>
        </w:rPr>
        <w:t xml:space="preserve"> </w:t>
      </w:r>
      <w:r w:rsidR="00125A3B" w:rsidRPr="00560A9B">
        <w:rPr>
          <w:i/>
          <w:sz w:val="26"/>
          <w:lang w:val="en-CA"/>
        </w:rPr>
        <w:t>FOI</w:t>
      </w:r>
      <w:r w:rsidR="00125A3B" w:rsidRPr="001418B7">
        <w:rPr>
          <w:sz w:val="26"/>
          <w:lang w:val="en-CA"/>
        </w:rPr>
        <w:t xml:space="preserve"> requests in relation t</w:t>
      </w:r>
      <w:r w:rsidR="00380BA8">
        <w:rPr>
          <w:sz w:val="26"/>
          <w:lang w:val="en-CA"/>
        </w:rPr>
        <w:t>o gas plant documents were</w:t>
      </w:r>
      <w:r w:rsidR="00125A3B" w:rsidRPr="001418B7">
        <w:rPr>
          <w:sz w:val="26"/>
          <w:lang w:val="en-CA"/>
        </w:rPr>
        <w:t xml:space="preserve"> outstanding</w:t>
      </w:r>
      <w:r w:rsidR="00380BA8">
        <w:rPr>
          <w:sz w:val="26"/>
          <w:lang w:val="en-CA"/>
        </w:rPr>
        <w:t xml:space="preserve"> and </w:t>
      </w:r>
      <w:r w:rsidR="0001424B" w:rsidRPr="001418B7">
        <w:rPr>
          <w:sz w:val="26"/>
          <w:lang w:val="en-CA"/>
        </w:rPr>
        <w:t xml:space="preserve">a Standing Committee Production Order was clearly </w:t>
      </w:r>
      <w:r w:rsidR="00243BAB" w:rsidRPr="001418B7">
        <w:rPr>
          <w:sz w:val="26"/>
          <w:lang w:val="en-CA"/>
        </w:rPr>
        <w:t>foreseeable.</w:t>
      </w:r>
    </w:p>
    <w:p w:rsidR="005C4EB7" w:rsidRPr="001418B7" w:rsidRDefault="00B05C4D" w:rsidP="005C4EB7">
      <w:pPr>
        <w:pStyle w:val="MAINPARAGRAPH"/>
        <w:rPr>
          <w:b/>
          <w:sz w:val="26"/>
          <w:lang w:val="en-CA"/>
        </w:rPr>
      </w:pPr>
      <w:r w:rsidRPr="001418B7">
        <w:rPr>
          <w:sz w:val="26"/>
          <w:lang w:val="en-CA"/>
        </w:rPr>
        <w:t>The wiping of the hard drives was</w:t>
      </w:r>
      <w:r w:rsidR="00620372">
        <w:rPr>
          <w:sz w:val="26"/>
          <w:lang w:val="en-CA"/>
        </w:rPr>
        <w:t xml:space="preserve"> not only unauthorized, but </w:t>
      </w:r>
      <w:r w:rsidRPr="001418B7">
        <w:rPr>
          <w:sz w:val="26"/>
          <w:lang w:val="en-CA"/>
        </w:rPr>
        <w:t xml:space="preserve">undertaken with the intent to destroy retainable records </w:t>
      </w:r>
      <w:r w:rsidR="00205460">
        <w:rPr>
          <w:sz w:val="26"/>
          <w:lang w:val="en-CA"/>
        </w:rPr>
        <w:t>the defendant</w:t>
      </w:r>
      <w:r w:rsidR="00B9561D" w:rsidRPr="001418B7">
        <w:rPr>
          <w:sz w:val="26"/>
          <w:lang w:val="en-CA"/>
        </w:rPr>
        <w:t xml:space="preserve"> believed to exist on the hard drives. His purpose was to prevent lawful access to such records in order to thwart the fundamental objectives of</w:t>
      </w:r>
      <w:r w:rsidR="002F7DF0">
        <w:rPr>
          <w:sz w:val="26"/>
          <w:lang w:val="en-CA"/>
        </w:rPr>
        <w:t xml:space="preserve"> both</w:t>
      </w:r>
      <w:r w:rsidR="00B9561D" w:rsidRPr="001418B7">
        <w:rPr>
          <w:sz w:val="26"/>
          <w:lang w:val="en-CA"/>
        </w:rPr>
        <w:t xml:space="preserve"> access to information</w:t>
      </w:r>
      <w:r w:rsidR="00987EF3" w:rsidRPr="001418B7">
        <w:rPr>
          <w:sz w:val="26"/>
          <w:lang w:val="en-CA"/>
        </w:rPr>
        <w:t xml:space="preserve"> legislation and the legislative committee process.</w:t>
      </w:r>
    </w:p>
    <w:p w:rsidR="006558C2" w:rsidRPr="006558C2" w:rsidRDefault="008043C3" w:rsidP="005C4EB7">
      <w:pPr>
        <w:pStyle w:val="MAINPARAGRAPH"/>
        <w:rPr>
          <w:b/>
          <w:sz w:val="26"/>
          <w:lang w:val="en-CA"/>
        </w:rPr>
      </w:pPr>
      <w:r>
        <w:rPr>
          <w:sz w:val="26"/>
          <w:lang w:val="en-CA"/>
        </w:rPr>
        <w:t>Mr. Livingston is a 65-</w:t>
      </w:r>
      <w:r w:rsidR="00CC320B" w:rsidRPr="001418B7">
        <w:rPr>
          <w:sz w:val="26"/>
          <w:lang w:val="en-CA"/>
        </w:rPr>
        <w:t>y</w:t>
      </w:r>
      <w:r>
        <w:rPr>
          <w:sz w:val="26"/>
          <w:lang w:val="en-CA"/>
        </w:rPr>
        <w:t>ear-</w:t>
      </w:r>
      <w:r w:rsidR="00CC320B" w:rsidRPr="001418B7">
        <w:rPr>
          <w:sz w:val="26"/>
          <w:lang w:val="en-CA"/>
        </w:rPr>
        <w:t>old first offender</w:t>
      </w:r>
      <w:r w:rsidR="008D4131" w:rsidRPr="001418B7">
        <w:rPr>
          <w:sz w:val="26"/>
          <w:lang w:val="en-CA"/>
        </w:rPr>
        <w:t xml:space="preserve"> who </w:t>
      </w:r>
      <w:r w:rsidR="00DD59DB" w:rsidRPr="001418B7">
        <w:rPr>
          <w:sz w:val="26"/>
          <w:lang w:val="en-CA"/>
        </w:rPr>
        <w:t>resides i</w:t>
      </w:r>
      <w:r w:rsidR="002F7DF0">
        <w:rPr>
          <w:sz w:val="26"/>
          <w:lang w:val="en-CA"/>
        </w:rPr>
        <w:t>n Toronto with his wife of 40</w:t>
      </w:r>
      <w:r w:rsidR="00DD59DB" w:rsidRPr="001418B7">
        <w:rPr>
          <w:sz w:val="26"/>
          <w:lang w:val="en-CA"/>
        </w:rPr>
        <w:t xml:space="preserve"> years. He has two adult children and two grandchildren.</w:t>
      </w:r>
      <w:r w:rsidR="00A12FD1" w:rsidRPr="001418B7">
        <w:rPr>
          <w:sz w:val="26"/>
          <w:lang w:val="en-CA"/>
        </w:rPr>
        <w:t xml:space="preserve"> </w:t>
      </w:r>
      <w:r w:rsidR="00F911D6" w:rsidRPr="001418B7">
        <w:rPr>
          <w:sz w:val="26"/>
          <w:lang w:val="en-CA"/>
        </w:rPr>
        <w:t>H</w:t>
      </w:r>
      <w:r w:rsidR="009E0264" w:rsidRPr="001418B7">
        <w:rPr>
          <w:sz w:val="26"/>
          <w:lang w:val="en-CA"/>
        </w:rPr>
        <w:t>e has an exceptional employment history. He w</w:t>
      </w:r>
      <w:r w:rsidR="005A53AE" w:rsidRPr="001418B7">
        <w:rPr>
          <w:sz w:val="26"/>
          <w:lang w:val="en-CA"/>
        </w:rPr>
        <w:t>orked</w:t>
      </w:r>
      <w:r w:rsidR="008E2280" w:rsidRPr="001418B7">
        <w:rPr>
          <w:sz w:val="26"/>
          <w:lang w:val="en-CA"/>
        </w:rPr>
        <w:t xml:space="preserve"> a</w:t>
      </w:r>
      <w:r w:rsidR="00D87449" w:rsidRPr="001418B7">
        <w:rPr>
          <w:sz w:val="26"/>
          <w:lang w:val="en-CA"/>
        </w:rPr>
        <w:t>t a major bank for</w:t>
      </w:r>
      <w:r w:rsidR="008D4131" w:rsidRPr="001418B7">
        <w:rPr>
          <w:sz w:val="26"/>
          <w:lang w:val="en-CA"/>
        </w:rPr>
        <w:t xml:space="preserve"> twenty-</w:t>
      </w:r>
      <w:r w:rsidR="002F7DF0">
        <w:rPr>
          <w:sz w:val="26"/>
          <w:lang w:val="en-CA"/>
        </w:rPr>
        <w:t>nine years and rose through</w:t>
      </w:r>
      <w:r w:rsidR="00333878" w:rsidRPr="001418B7">
        <w:rPr>
          <w:sz w:val="26"/>
          <w:lang w:val="en-CA"/>
        </w:rPr>
        <w:t xml:space="preserve"> several</w:t>
      </w:r>
      <w:r w:rsidR="00D87449" w:rsidRPr="001418B7">
        <w:rPr>
          <w:sz w:val="26"/>
          <w:lang w:val="en-CA"/>
        </w:rPr>
        <w:t xml:space="preserve"> senior position</w:t>
      </w:r>
      <w:r w:rsidR="00333878" w:rsidRPr="001418B7">
        <w:rPr>
          <w:sz w:val="26"/>
          <w:lang w:val="en-CA"/>
        </w:rPr>
        <w:t>s</w:t>
      </w:r>
      <w:r w:rsidR="00D87449" w:rsidRPr="001418B7">
        <w:rPr>
          <w:sz w:val="26"/>
          <w:lang w:val="en-CA"/>
        </w:rPr>
        <w:t xml:space="preserve"> before taking early ret</w:t>
      </w:r>
      <w:r w:rsidR="00B9287F">
        <w:rPr>
          <w:sz w:val="26"/>
          <w:lang w:val="en-CA"/>
        </w:rPr>
        <w:t>irement in 2005. He t</w:t>
      </w:r>
      <w:r w:rsidR="000630C0" w:rsidRPr="001418B7">
        <w:rPr>
          <w:sz w:val="26"/>
          <w:lang w:val="en-CA"/>
        </w:rPr>
        <w:t>hen took on the role of President and Chief Executive Officer of Infrastructure Ontario</w:t>
      </w:r>
      <w:r w:rsidR="00266733" w:rsidRPr="001418B7">
        <w:rPr>
          <w:sz w:val="26"/>
          <w:lang w:val="en-CA"/>
        </w:rPr>
        <w:t>,</w:t>
      </w:r>
      <w:r w:rsidR="008E7CF1" w:rsidRPr="001418B7">
        <w:rPr>
          <w:sz w:val="26"/>
          <w:lang w:val="en-CA"/>
        </w:rPr>
        <w:t xml:space="preserve"> where he remained for seven years before accepting a secondment in 2012 to become Chief of </w:t>
      </w:r>
      <w:r w:rsidR="00333878" w:rsidRPr="001418B7">
        <w:rPr>
          <w:sz w:val="26"/>
          <w:lang w:val="en-CA"/>
        </w:rPr>
        <w:t xml:space="preserve">Staff to </w:t>
      </w:r>
      <w:r w:rsidR="002002E5" w:rsidRPr="001418B7">
        <w:rPr>
          <w:sz w:val="26"/>
          <w:lang w:val="en-CA"/>
        </w:rPr>
        <w:t>Premier McGuinty. He held that position for approximately nine months</w:t>
      </w:r>
      <w:r w:rsidR="00941D80" w:rsidRPr="001418B7">
        <w:rPr>
          <w:sz w:val="26"/>
          <w:lang w:val="en-CA"/>
        </w:rPr>
        <w:t>.</w:t>
      </w:r>
    </w:p>
    <w:p w:rsidR="00FE54B2" w:rsidRPr="001418B7" w:rsidRDefault="00941D80" w:rsidP="005C4EB7">
      <w:pPr>
        <w:pStyle w:val="MAINPARAGRAPH"/>
        <w:rPr>
          <w:b/>
          <w:sz w:val="26"/>
          <w:lang w:val="en-CA"/>
        </w:rPr>
      </w:pPr>
      <w:r w:rsidRPr="001418B7">
        <w:rPr>
          <w:sz w:val="26"/>
          <w:lang w:val="en-CA"/>
        </w:rPr>
        <w:t xml:space="preserve"> Following his departure from the Office of the Premier, Mr. Livingston</w:t>
      </w:r>
      <w:r w:rsidR="00620372">
        <w:rPr>
          <w:sz w:val="26"/>
          <w:lang w:val="en-CA"/>
        </w:rPr>
        <w:t xml:space="preserve"> was employed as a consultant at</w:t>
      </w:r>
      <w:r w:rsidRPr="001418B7">
        <w:rPr>
          <w:sz w:val="26"/>
          <w:lang w:val="en-CA"/>
        </w:rPr>
        <w:t xml:space="preserve"> </w:t>
      </w:r>
      <w:r w:rsidR="00266733" w:rsidRPr="001418B7">
        <w:rPr>
          <w:sz w:val="26"/>
          <w:lang w:val="en-CA"/>
        </w:rPr>
        <w:t xml:space="preserve">a </w:t>
      </w:r>
      <w:r w:rsidRPr="001418B7">
        <w:rPr>
          <w:sz w:val="26"/>
          <w:lang w:val="en-CA"/>
        </w:rPr>
        <w:t>large Canadian law firm for about one year</w:t>
      </w:r>
      <w:r w:rsidR="00B9287F">
        <w:rPr>
          <w:sz w:val="26"/>
          <w:lang w:val="en-CA"/>
        </w:rPr>
        <w:t xml:space="preserve">. He lost that job </w:t>
      </w:r>
      <w:r w:rsidR="004A0D0C" w:rsidRPr="001418B7">
        <w:rPr>
          <w:sz w:val="26"/>
          <w:lang w:val="en-CA"/>
        </w:rPr>
        <w:t>when the police investigation into his conduct became public.</w:t>
      </w:r>
      <w:r w:rsidR="00BB7201" w:rsidRPr="001418B7">
        <w:rPr>
          <w:sz w:val="26"/>
          <w:lang w:val="en-CA"/>
        </w:rPr>
        <w:t xml:space="preserve"> Since 2017, Mr</w:t>
      </w:r>
      <w:r w:rsidR="00870FA8" w:rsidRPr="001418B7">
        <w:rPr>
          <w:sz w:val="26"/>
          <w:lang w:val="en-CA"/>
        </w:rPr>
        <w:t>. Livings</w:t>
      </w:r>
      <w:r w:rsidR="002F7DF0">
        <w:rPr>
          <w:sz w:val="26"/>
          <w:lang w:val="en-CA"/>
        </w:rPr>
        <w:t>ton has spent</w:t>
      </w:r>
      <w:r w:rsidR="00376D4F" w:rsidRPr="001418B7">
        <w:rPr>
          <w:sz w:val="26"/>
          <w:lang w:val="en-CA"/>
        </w:rPr>
        <w:t xml:space="preserve"> his weekdays being a caregiver to his granddaughter</w:t>
      </w:r>
      <w:r w:rsidR="009B6F6D" w:rsidRPr="001418B7">
        <w:rPr>
          <w:sz w:val="26"/>
          <w:lang w:val="en-CA"/>
        </w:rPr>
        <w:t>.</w:t>
      </w:r>
    </w:p>
    <w:p w:rsidR="00A72DF6" w:rsidRPr="001418B7" w:rsidRDefault="00FE54B2" w:rsidP="005C4EB7">
      <w:pPr>
        <w:pStyle w:val="MAINPARAGRAPH"/>
        <w:rPr>
          <w:b/>
          <w:sz w:val="26"/>
          <w:lang w:val="en-CA"/>
        </w:rPr>
      </w:pPr>
      <w:r w:rsidRPr="001418B7">
        <w:rPr>
          <w:sz w:val="26"/>
          <w:lang w:val="en-CA"/>
        </w:rPr>
        <w:lastRenderedPageBreak/>
        <w:t>The court received a very positive</w:t>
      </w:r>
      <w:r w:rsidR="00E75A4F">
        <w:rPr>
          <w:sz w:val="26"/>
          <w:lang w:val="en-CA"/>
        </w:rPr>
        <w:t xml:space="preserve"> presentence r</w:t>
      </w:r>
      <w:r w:rsidR="00B9287F">
        <w:rPr>
          <w:sz w:val="26"/>
          <w:lang w:val="en-CA"/>
        </w:rPr>
        <w:t>eport, filed as E</w:t>
      </w:r>
      <w:r w:rsidRPr="001418B7">
        <w:rPr>
          <w:sz w:val="26"/>
          <w:lang w:val="en-CA"/>
        </w:rPr>
        <w:t>xhibit 1.</w:t>
      </w:r>
      <w:r w:rsidR="00E66014" w:rsidRPr="001418B7">
        <w:rPr>
          <w:sz w:val="26"/>
          <w:lang w:val="en-CA"/>
        </w:rPr>
        <w:t xml:space="preserve"> T</w:t>
      </w:r>
      <w:r w:rsidR="002E0A32" w:rsidRPr="001418B7">
        <w:rPr>
          <w:sz w:val="26"/>
          <w:lang w:val="en-CA"/>
        </w:rPr>
        <w:t>he writer noted</w:t>
      </w:r>
      <w:r w:rsidR="00D4722B" w:rsidRPr="001418B7">
        <w:rPr>
          <w:sz w:val="26"/>
          <w:lang w:val="en-CA"/>
        </w:rPr>
        <w:t xml:space="preserve">: </w:t>
      </w:r>
      <w:r w:rsidR="0004282A" w:rsidRPr="001418B7">
        <w:rPr>
          <w:sz w:val="26"/>
          <w:lang w:val="en-CA"/>
        </w:rPr>
        <w:t>“</w:t>
      </w:r>
      <w:r w:rsidR="00D4722B" w:rsidRPr="001418B7">
        <w:rPr>
          <w:sz w:val="26"/>
          <w:lang w:val="en-CA"/>
        </w:rPr>
        <w:t xml:space="preserve">Pertaining to the subject’s character, collateral sources responded very similarly in portraying </w:t>
      </w:r>
      <w:r w:rsidR="0004282A" w:rsidRPr="001418B7">
        <w:rPr>
          <w:sz w:val="26"/>
          <w:lang w:val="en-CA"/>
        </w:rPr>
        <w:t>the subject as generous, trustworthy, honest, reli</w:t>
      </w:r>
      <w:r w:rsidR="00287ECD" w:rsidRPr="001418B7">
        <w:rPr>
          <w:sz w:val="26"/>
          <w:lang w:val="en-CA"/>
        </w:rPr>
        <w:t xml:space="preserve">able, supportive, loyal, caring, and </w:t>
      </w:r>
      <w:r w:rsidR="0004282A" w:rsidRPr="001418B7">
        <w:rPr>
          <w:sz w:val="26"/>
          <w:lang w:val="en-CA"/>
        </w:rPr>
        <w:t>a true role model.”</w:t>
      </w:r>
      <w:r w:rsidR="00870FA8" w:rsidRPr="001418B7">
        <w:rPr>
          <w:sz w:val="26"/>
          <w:lang w:val="en-CA"/>
        </w:rPr>
        <w:t xml:space="preserve"> </w:t>
      </w:r>
    </w:p>
    <w:p w:rsidR="00732D0A" w:rsidRPr="001418B7" w:rsidRDefault="00732D0A" w:rsidP="005C4EB7">
      <w:pPr>
        <w:pStyle w:val="MAINPARAGRAPH"/>
        <w:rPr>
          <w:b/>
          <w:sz w:val="26"/>
          <w:lang w:val="en-CA"/>
        </w:rPr>
      </w:pPr>
      <w:r w:rsidRPr="001418B7">
        <w:rPr>
          <w:sz w:val="26"/>
          <w:lang w:val="en-CA"/>
        </w:rPr>
        <w:t>At the sente</w:t>
      </w:r>
      <w:r w:rsidR="00287ECD" w:rsidRPr="001418B7">
        <w:rPr>
          <w:sz w:val="26"/>
          <w:lang w:val="en-CA"/>
        </w:rPr>
        <w:t>ncing hearing, a book of twenty-</w:t>
      </w:r>
      <w:r w:rsidRPr="001418B7">
        <w:rPr>
          <w:sz w:val="26"/>
          <w:lang w:val="en-CA"/>
        </w:rPr>
        <w:t xml:space="preserve">seven character </w:t>
      </w:r>
      <w:r w:rsidR="00B9287F">
        <w:rPr>
          <w:sz w:val="26"/>
          <w:lang w:val="en-CA"/>
        </w:rPr>
        <w:t>reference letters was filed as E</w:t>
      </w:r>
      <w:r w:rsidRPr="001418B7">
        <w:rPr>
          <w:sz w:val="26"/>
          <w:lang w:val="en-CA"/>
        </w:rPr>
        <w:t>xhibit 2. Many of the au</w:t>
      </w:r>
      <w:r w:rsidR="00FE3D99" w:rsidRPr="001418B7">
        <w:rPr>
          <w:sz w:val="26"/>
          <w:lang w:val="en-CA"/>
        </w:rPr>
        <w:t xml:space="preserve">thors of </w:t>
      </w:r>
      <w:r w:rsidR="00287ECD" w:rsidRPr="001418B7">
        <w:rPr>
          <w:sz w:val="26"/>
          <w:lang w:val="en-CA"/>
        </w:rPr>
        <w:t>these letters read them</w:t>
      </w:r>
      <w:r w:rsidRPr="001418B7">
        <w:rPr>
          <w:sz w:val="26"/>
          <w:lang w:val="en-CA"/>
        </w:rPr>
        <w:t xml:space="preserve"> aloud in court.</w:t>
      </w:r>
      <w:r w:rsidR="00F45279" w:rsidRPr="001418B7">
        <w:rPr>
          <w:sz w:val="26"/>
          <w:lang w:val="en-CA"/>
        </w:rPr>
        <w:t xml:space="preserve"> Some of the witnesses attested to the contributions Mr. Livingston</w:t>
      </w:r>
      <w:r w:rsidR="00620372">
        <w:rPr>
          <w:sz w:val="26"/>
          <w:lang w:val="en-CA"/>
        </w:rPr>
        <w:t xml:space="preserve"> </w:t>
      </w:r>
      <w:r w:rsidR="00F45279" w:rsidRPr="001418B7">
        <w:rPr>
          <w:sz w:val="26"/>
          <w:lang w:val="en-CA"/>
        </w:rPr>
        <w:t xml:space="preserve">made to </w:t>
      </w:r>
      <w:r w:rsidR="00FE3D99" w:rsidRPr="001418B7">
        <w:rPr>
          <w:sz w:val="26"/>
          <w:lang w:val="en-CA"/>
        </w:rPr>
        <w:t xml:space="preserve">the public good </w:t>
      </w:r>
      <w:r w:rsidR="00F45279" w:rsidRPr="001418B7">
        <w:rPr>
          <w:sz w:val="26"/>
          <w:lang w:val="en-CA"/>
        </w:rPr>
        <w:t>as the first CEO of Infrastructure Ontario.</w:t>
      </w:r>
      <w:r w:rsidR="00370E7F" w:rsidRPr="001418B7">
        <w:rPr>
          <w:sz w:val="26"/>
          <w:lang w:val="en-CA"/>
        </w:rPr>
        <w:t xml:space="preserve"> Several witnesses spoke of his</w:t>
      </w:r>
      <w:r w:rsidR="00B85384" w:rsidRPr="001418B7">
        <w:rPr>
          <w:sz w:val="26"/>
          <w:lang w:val="en-CA"/>
        </w:rPr>
        <w:t xml:space="preserve"> public service</w:t>
      </w:r>
      <w:r w:rsidR="00370E7F" w:rsidRPr="001418B7">
        <w:rPr>
          <w:sz w:val="26"/>
          <w:lang w:val="en-CA"/>
        </w:rPr>
        <w:t xml:space="preserve"> </w:t>
      </w:r>
      <w:r w:rsidR="00C845B3" w:rsidRPr="001418B7">
        <w:rPr>
          <w:sz w:val="26"/>
          <w:lang w:val="en-CA"/>
        </w:rPr>
        <w:t>outside of work. He</w:t>
      </w:r>
      <w:r w:rsidR="00336B3C" w:rsidRPr="001418B7">
        <w:rPr>
          <w:sz w:val="26"/>
          <w:lang w:val="en-CA"/>
        </w:rPr>
        <w:t xml:space="preserve"> has volunt</w:t>
      </w:r>
      <w:r w:rsidR="00B85384" w:rsidRPr="001418B7">
        <w:rPr>
          <w:sz w:val="26"/>
          <w:lang w:val="en-CA"/>
        </w:rPr>
        <w:t>eered or served as a director for numerous</w:t>
      </w:r>
      <w:r w:rsidR="00336B3C" w:rsidRPr="001418B7">
        <w:rPr>
          <w:sz w:val="26"/>
          <w:lang w:val="en-CA"/>
        </w:rPr>
        <w:t xml:space="preserve"> charities</w:t>
      </w:r>
      <w:r w:rsidR="00C845B3" w:rsidRPr="001418B7">
        <w:rPr>
          <w:sz w:val="26"/>
          <w:lang w:val="en-CA"/>
        </w:rPr>
        <w:t>,</w:t>
      </w:r>
      <w:r w:rsidR="00336B3C" w:rsidRPr="001418B7">
        <w:rPr>
          <w:sz w:val="26"/>
          <w:lang w:val="en-CA"/>
        </w:rPr>
        <w:t xml:space="preserve"> including the United Way of Toronto, the Children’s Aid Foundation and Children’s Aid Society of Toronto, the Ovarian Cancer Society of Canada and the Special Olympics</w:t>
      </w:r>
      <w:r w:rsidR="00F44D9E" w:rsidRPr="001418B7">
        <w:rPr>
          <w:sz w:val="26"/>
          <w:lang w:val="en-CA"/>
        </w:rPr>
        <w:t xml:space="preserve">. </w:t>
      </w:r>
      <w:r w:rsidR="00B85384" w:rsidRPr="001418B7">
        <w:rPr>
          <w:sz w:val="26"/>
          <w:lang w:val="en-CA"/>
        </w:rPr>
        <w:t xml:space="preserve"> </w:t>
      </w:r>
      <w:r w:rsidR="005A53AE" w:rsidRPr="001418B7">
        <w:rPr>
          <w:sz w:val="26"/>
          <w:lang w:val="en-CA"/>
        </w:rPr>
        <w:t xml:space="preserve">I would characterize Mr. Livingston’s </w:t>
      </w:r>
      <w:r w:rsidR="00181A8C" w:rsidRPr="001418B7">
        <w:rPr>
          <w:sz w:val="26"/>
          <w:lang w:val="en-CA"/>
        </w:rPr>
        <w:t xml:space="preserve">overall community service </w:t>
      </w:r>
      <w:r w:rsidR="00F44D9E" w:rsidRPr="001418B7">
        <w:rPr>
          <w:sz w:val="26"/>
          <w:lang w:val="en-CA"/>
        </w:rPr>
        <w:t>in a variety of spheres as exceptional.</w:t>
      </w:r>
      <w:r w:rsidR="00952FC5" w:rsidRPr="001418B7">
        <w:rPr>
          <w:sz w:val="26"/>
          <w:lang w:val="en-CA"/>
        </w:rPr>
        <w:t xml:space="preserve"> He is </w:t>
      </w:r>
      <w:r w:rsidR="00181A8C" w:rsidRPr="001418B7">
        <w:rPr>
          <w:sz w:val="26"/>
          <w:lang w:val="en-CA"/>
        </w:rPr>
        <w:t xml:space="preserve">also </w:t>
      </w:r>
      <w:r w:rsidR="00952FC5" w:rsidRPr="001418B7">
        <w:rPr>
          <w:sz w:val="26"/>
          <w:lang w:val="en-CA"/>
        </w:rPr>
        <w:t>described by his family members as an “outstanding”</w:t>
      </w:r>
      <w:r w:rsidR="00796098" w:rsidRPr="001418B7">
        <w:rPr>
          <w:sz w:val="26"/>
          <w:lang w:val="en-CA"/>
        </w:rPr>
        <w:t xml:space="preserve"> and </w:t>
      </w:r>
      <w:r w:rsidR="00404902" w:rsidRPr="001418B7">
        <w:rPr>
          <w:sz w:val="26"/>
          <w:lang w:val="en-CA"/>
        </w:rPr>
        <w:t>“</w:t>
      </w:r>
      <w:r w:rsidR="00796098" w:rsidRPr="001418B7">
        <w:rPr>
          <w:sz w:val="26"/>
          <w:lang w:val="en-CA"/>
        </w:rPr>
        <w:t>devoted</w:t>
      </w:r>
      <w:r w:rsidR="00404902" w:rsidRPr="001418B7">
        <w:rPr>
          <w:sz w:val="26"/>
          <w:lang w:val="en-CA"/>
        </w:rPr>
        <w:t>”</w:t>
      </w:r>
      <w:r w:rsidR="00952FC5" w:rsidRPr="001418B7">
        <w:rPr>
          <w:sz w:val="26"/>
          <w:lang w:val="en-CA"/>
        </w:rPr>
        <w:t xml:space="preserve"> father and husband.</w:t>
      </w:r>
    </w:p>
    <w:p w:rsidR="00500688" w:rsidRPr="001418B7" w:rsidRDefault="00500688" w:rsidP="005C4EB7">
      <w:pPr>
        <w:pStyle w:val="MAINPARAGRAPH"/>
        <w:rPr>
          <w:b/>
          <w:sz w:val="26"/>
          <w:lang w:val="en-CA"/>
        </w:rPr>
      </w:pPr>
      <w:r w:rsidRPr="001418B7">
        <w:rPr>
          <w:sz w:val="26"/>
          <w:lang w:val="en-CA"/>
        </w:rPr>
        <w:t>Several of the character witnesses</w:t>
      </w:r>
      <w:r w:rsidR="00C3368D" w:rsidRPr="001418B7">
        <w:rPr>
          <w:sz w:val="26"/>
          <w:lang w:val="en-CA"/>
        </w:rPr>
        <w:t xml:space="preserve"> </w:t>
      </w:r>
      <w:r w:rsidRPr="001418B7">
        <w:rPr>
          <w:sz w:val="26"/>
          <w:lang w:val="en-CA"/>
        </w:rPr>
        <w:t>spoke of Mr. Livingston’s honesty and integrity</w:t>
      </w:r>
      <w:r w:rsidR="00BC30FA" w:rsidRPr="001418B7">
        <w:rPr>
          <w:sz w:val="26"/>
          <w:lang w:val="en-CA"/>
        </w:rPr>
        <w:t>, both in his professional and personal lives.</w:t>
      </w:r>
      <w:r w:rsidR="00B350B5">
        <w:rPr>
          <w:sz w:val="26"/>
          <w:lang w:val="en-CA"/>
        </w:rPr>
        <w:t xml:space="preserve"> Their comments are set out in E</w:t>
      </w:r>
      <w:r w:rsidR="00BC30FA" w:rsidRPr="001418B7">
        <w:rPr>
          <w:sz w:val="26"/>
          <w:lang w:val="en-CA"/>
        </w:rPr>
        <w:t>xhibit 2</w:t>
      </w:r>
      <w:r w:rsidR="00C845B3" w:rsidRPr="001418B7">
        <w:rPr>
          <w:sz w:val="26"/>
          <w:lang w:val="en-CA"/>
        </w:rPr>
        <w:t>,</w:t>
      </w:r>
      <w:r w:rsidR="00BC30FA" w:rsidRPr="001418B7">
        <w:rPr>
          <w:sz w:val="26"/>
          <w:lang w:val="en-CA"/>
        </w:rPr>
        <w:t xml:space="preserve"> and well summarized in the written submissions provided by the defence.</w:t>
      </w:r>
      <w:r w:rsidR="00BA36E7" w:rsidRPr="001418B7">
        <w:rPr>
          <w:sz w:val="26"/>
          <w:lang w:val="en-CA"/>
        </w:rPr>
        <w:t xml:space="preserve"> Several of the letters addressed Mr. Livingst</w:t>
      </w:r>
      <w:r w:rsidR="002C6FB2" w:rsidRPr="001418B7">
        <w:rPr>
          <w:sz w:val="26"/>
          <w:lang w:val="en-CA"/>
        </w:rPr>
        <w:t xml:space="preserve">on’s motivation in taking on the </w:t>
      </w:r>
      <w:r w:rsidR="00B74014" w:rsidRPr="001418B7">
        <w:rPr>
          <w:sz w:val="26"/>
          <w:lang w:val="en-CA"/>
        </w:rPr>
        <w:t>Infrastructure</w:t>
      </w:r>
      <w:r w:rsidR="002C6FB2" w:rsidRPr="001418B7">
        <w:rPr>
          <w:sz w:val="26"/>
          <w:lang w:val="en-CA"/>
        </w:rPr>
        <w:t xml:space="preserve"> Ontario and Premier’s</w:t>
      </w:r>
      <w:r w:rsidR="00BA36E7" w:rsidRPr="001418B7">
        <w:rPr>
          <w:sz w:val="26"/>
          <w:lang w:val="en-CA"/>
        </w:rPr>
        <w:t xml:space="preserve"> </w:t>
      </w:r>
      <w:r w:rsidR="002C6FB2" w:rsidRPr="001418B7">
        <w:rPr>
          <w:sz w:val="26"/>
          <w:lang w:val="en-CA"/>
        </w:rPr>
        <w:t>Chief of Staff position</w:t>
      </w:r>
      <w:r w:rsidR="00B74014" w:rsidRPr="001418B7">
        <w:rPr>
          <w:sz w:val="26"/>
          <w:lang w:val="en-CA"/>
        </w:rPr>
        <w:t>s</w:t>
      </w:r>
      <w:r w:rsidR="003B47F9" w:rsidRPr="001418B7">
        <w:rPr>
          <w:sz w:val="26"/>
          <w:lang w:val="en-CA"/>
        </w:rPr>
        <w:t>,</w:t>
      </w:r>
      <w:r w:rsidR="00B74014" w:rsidRPr="001418B7">
        <w:rPr>
          <w:sz w:val="26"/>
          <w:lang w:val="en-CA"/>
        </w:rPr>
        <w:t xml:space="preserve"> as well </w:t>
      </w:r>
      <w:r w:rsidR="001041EB" w:rsidRPr="001418B7">
        <w:rPr>
          <w:sz w:val="26"/>
          <w:lang w:val="en-CA"/>
        </w:rPr>
        <w:t>as his</w:t>
      </w:r>
      <w:r w:rsidR="002C6FB2" w:rsidRPr="001418B7">
        <w:rPr>
          <w:sz w:val="26"/>
          <w:lang w:val="en-CA"/>
        </w:rPr>
        <w:t xml:space="preserve"> lack of political partisanship</w:t>
      </w:r>
      <w:r w:rsidR="003B47F9" w:rsidRPr="001418B7">
        <w:rPr>
          <w:sz w:val="26"/>
          <w:lang w:val="en-CA"/>
        </w:rPr>
        <w:t>. These letters stress</w:t>
      </w:r>
      <w:r w:rsidR="00B74014" w:rsidRPr="001418B7">
        <w:rPr>
          <w:sz w:val="26"/>
          <w:lang w:val="en-CA"/>
        </w:rPr>
        <w:t xml:space="preserve"> that Mr. Livingston was driven</w:t>
      </w:r>
      <w:r w:rsidR="00C3368D" w:rsidRPr="001418B7">
        <w:rPr>
          <w:sz w:val="26"/>
          <w:lang w:val="en-CA"/>
        </w:rPr>
        <w:t xml:space="preserve"> to accept Premier McGuinty’s invitation to become his Chief of Staff out of</w:t>
      </w:r>
      <w:r w:rsidR="00B74014" w:rsidRPr="001418B7">
        <w:rPr>
          <w:sz w:val="26"/>
          <w:lang w:val="en-CA"/>
        </w:rPr>
        <w:t xml:space="preserve"> a sense of civic duty</w:t>
      </w:r>
      <w:r w:rsidR="0080129A">
        <w:rPr>
          <w:sz w:val="26"/>
          <w:lang w:val="en-CA"/>
        </w:rPr>
        <w:t>.</w:t>
      </w:r>
    </w:p>
    <w:p w:rsidR="00704969" w:rsidRPr="001418B7" w:rsidRDefault="00BF3433" w:rsidP="00BD231B">
      <w:pPr>
        <w:pStyle w:val="MAINPARAGRAPH"/>
        <w:numPr>
          <w:ilvl w:val="0"/>
          <w:numId w:val="0"/>
        </w:numPr>
        <w:rPr>
          <w:b/>
          <w:sz w:val="26"/>
          <w:u w:val="single"/>
          <w:lang w:val="en-CA"/>
        </w:rPr>
      </w:pPr>
      <w:r w:rsidRPr="001418B7">
        <w:rPr>
          <w:b/>
          <w:sz w:val="26"/>
          <w:u w:val="single"/>
          <w:lang w:val="en-CA"/>
        </w:rPr>
        <w:t>Positions of the Parties</w:t>
      </w:r>
      <w:r w:rsidR="003862EF" w:rsidRPr="001418B7">
        <w:rPr>
          <w:b/>
          <w:sz w:val="26"/>
          <w:u w:val="single"/>
          <w:lang w:val="en-CA"/>
        </w:rPr>
        <w:t xml:space="preserve"> </w:t>
      </w:r>
    </w:p>
    <w:p w:rsidR="003B47F9" w:rsidRPr="001418B7" w:rsidRDefault="00C40EC5" w:rsidP="003B47F9">
      <w:pPr>
        <w:pStyle w:val="MAINPARAGRAPH"/>
        <w:numPr>
          <w:ilvl w:val="0"/>
          <w:numId w:val="0"/>
        </w:numPr>
        <w:rPr>
          <w:b/>
          <w:sz w:val="26"/>
          <w:lang w:val="en-CA"/>
        </w:rPr>
      </w:pPr>
      <w:r>
        <w:rPr>
          <w:b/>
          <w:sz w:val="26"/>
          <w:lang w:val="en-CA"/>
        </w:rPr>
        <w:t>Position of the Crown</w:t>
      </w:r>
    </w:p>
    <w:p w:rsidR="00BD231B" w:rsidRPr="001418B7" w:rsidRDefault="00B2099A" w:rsidP="005C4EB7">
      <w:pPr>
        <w:pStyle w:val="MAINPARAGRAPH"/>
        <w:rPr>
          <w:b/>
          <w:sz w:val="26"/>
          <w:lang w:val="en-CA"/>
        </w:rPr>
      </w:pPr>
      <w:r w:rsidRPr="001418B7">
        <w:rPr>
          <w:sz w:val="26"/>
          <w:lang w:val="en-CA"/>
        </w:rPr>
        <w:t>T</w:t>
      </w:r>
      <w:r w:rsidR="00500D56" w:rsidRPr="001418B7">
        <w:rPr>
          <w:sz w:val="26"/>
          <w:lang w:val="en-CA"/>
        </w:rPr>
        <w:t xml:space="preserve">he Crown submits that </w:t>
      </w:r>
      <w:r w:rsidR="00BB3972" w:rsidRPr="001418B7">
        <w:rPr>
          <w:sz w:val="26"/>
          <w:lang w:val="en-CA"/>
        </w:rPr>
        <w:t>the paramount objectives of sentencing</w:t>
      </w:r>
      <w:r w:rsidR="00935800" w:rsidRPr="001418B7">
        <w:rPr>
          <w:sz w:val="26"/>
          <w:lang w:val="en-CA"/>
        </w:rPr>
        <w:t xml:space="preserve"> in this case</w:t>
      </w:r>
      <w:r w:rsidR="00BB3972" w:rsidRPr="001418B7">
        <w:rPr>
          <w:sz w:val="26"/>
          <w:lang w:val="en-CA"/>
        </w:rPr>
        <w:t xml:space="preserve"> are denunciation and general deterrence</w:t>
      </w:r>
      <w:r w:rsidR="00C428D9" w:rsidRPr="001418B7">
        <w:rPr>
          <w:sz w:val="26"/>
          <w:lang w:val="en-CA"/>
        </w:rPr>
        <w:t>.</w:t>
      </w:r>
      <w:r w:rsidR="00BF7546">
        <w:rPr>
          <w:sz w:val="26"/>
          <w:lang w:val="en-CA"/>
        </w:rPr>
        <w:t xml:space="preserve"> In light of this, notwithstanding </w:t>
      </w:r>
      <w:r w:rsidR="00935800" w:rsidRPr="001418B7">
        <w:rPr>
          <w:sz w:val="26"/>
          <w:lang w:val="en-CA"/>
        </w:rPr>
        <w:t>the defe</w:t>
      </w:r>
      <w:r w:rsidR="00C81DE0" w:rsidRPr="001418B7">
        <w:rPr>
          <w:sz w:val="26"/>
          <w:lang w:val="en-CA"/>
        </w:rPr>
        <w:t xml:space="preserve">ndant’s impressive </w:t>
      </w:r>
      <w:r w:rsidR="00935800" w:rsidRPr="001418B7">
        <w:rPr>
          <w:sz w:val="26"/>
          <w:lang w:val="en-CA"/>
        </w:rPr>
        <w:t>background</w:t>
      </w:r>
      <w:r w:rsidR="006D0A44" w:rsidRPr="001418B7">
        <w:rPr>
          <w:sz w:val="26"/>
          <w:lang w:val="en-CA"/>
        </w:rPr>
        <w:t xml:space="preserve">, </w:t>
      </w:r>
      <w:r w:rsidR="00892262" w:rsidRPr="001418B7">
        <w:rPr>
          <w:sz w:val="26"/>
          <w:lang w:val="en-CA"/>
        </w:rPr>
        <w:t>anything less than a period of imprisonm</w:t>
      </w:r>
      <w:r w:rsidR="0080129A">
        <w:rPr>
          <w:sz w:val="26"/>
          <w:lang w:val="en-CA"/>
        </w:rPr>
        <w:t>ent would fail to properly denounce</w:t>
      </w:r>
      <w:r w:rsidR="00892262" w:rsidRPr="001418B7">
        <w:rPr>
          <w:sz w:val="26"/>
          <w:lang w:val="en-CA"/>
        </w:rPr>
        <w:t xml:space="preserve"> his conduct</w:t>
      </w:r>
      <w:r w:rsidR="0080129A">
        <w:rPr>
          <w:sz w:val="26"/>
          <w:lang w:val="en-CA"/>
        </w:rPr>
        <w:t xml:space="preserve"> and deter</w:t>
      </w:r>
      <w:r w:rsidR="00CB6AAE" w:rsidRPr="001418B7">
        <w:rPr>
          <w:sz w:val="26"/>
          <w:lang w:val="en-CA"/>
        </w:rPr>
        <w:t xml:space="preserve"> others in governm</w:t>
      </w:r>
      <w:r w:rsidR="00C428D9" w:rsidRPr="001418B7">
        <w:rPr>
          <w:sz w:val="26"/>
          <w:lang w:val="en-CA"/>
        </w:rPr>
        <w:t>ent from similar behaviour</w:t>
      </w:r>
      <w:r w:rsidR="00CB6AAE" w:rsidRPr="001418B7">
        <w:rPr>
          <w:sz w:val="26"/>
          <w:lang w:val="en-CA"/>
        </w:rPr>
        <w:t>.</w:t>
      </w:r>
    </w:p>
    <w:p w:rsidR="003862EF" w:rsidRPr="001418B7" w:rsidRDefault="00CB6AAE" w:rsidP="005C4EB7">
      <w:pPr>
        <w:pStyle w:val="MAINPARAGRAPH"/>
        <w:rPr>
          <w:b/>
          <w:sz w:val="26"/>
          <w:lang w:val="en-CA"/>
        </w:rPr>
      </w:pPr>
      <w:r w:rsidRPr="001418B7">
        <w:rPr>
          <w:sz w:val="26"/>
          <w:lang w:val="en-CA"/>
        </w:rPr>
        <w:t>The Crown contends</w:t>
      </w:r>
      <w:r w:rsidR="00AB5D7B" w:rsidRPr="001418B7">
        <w:rPr>
          <w:sz w:val="26"/>
          <w:lang w:val="en-CA"/>
        </w:rPr>
        <w:t xml:space="preserve"> that Mr. Livingston</w:t>
      </w:r>
      <w:r w:rsidRPr="001418B7">
        <w:rPr>
          <w:sz w:val="26"/>
          <w:lang w:val="en-CA"/>
        </w:rPr>
        <w:t xml:space="preserve"> was a </w:t>
      </w:r>
      <w:r w:rsidR="00C434BC" w:rsidRPr="001418B7">
        <w:rPr>
          <w:sz w:val="26"/>
          <w:lang w:val="en-CA"/>
        </w:rPr>
        <w:t>sophisticated government actor in a position of trust</w:t>
      </w:r>
      <w:r w:rsidR="0070672C">
        <w:rPr>
          <w:sz w:val="26"/>
          <w:lang w:val="en-CA"/>
        </w:rPr>
        <w:t>,</w:t>
      </w:r>
      <w:r w:rsidR="007D370C">
        <w:rPr>
          <w:sz w:val="26"/>
          <w:lang w:val="en-CA"/>
        </w:rPr>
        <w:t xml:space="preserve"> fully aware of his actions</w:t>
      </w:r>
      <w:r w:rsidR="00C434BC" w:rsidRPr="001418B7">
        <w:rPr>
          <w:sz w:val="26"/>
          <w:lang w:val="en-CA"/>
        </w:rPr>
        <w:t xml:space="preserve">. Moreover, he was </w:t>
      </w:r>
      <w:r w:rsidR="00CD152A" w:rsidRPr="001418B7">
        <w:rPr>
          <w:sz w:val="26"/>
          <w:lang w:val="en-CA"/>
        </w:rPr>
        <w:t>expressly cautioned about the government’s obligations to produce info</w:t>
      </w:r>
      <w:r w:rsidR="007D370C">
        <w:rPr>
          <w:sz w:val="26"/>
          <w:lang w:val="en-CA"/>
        </w:rPr>
        <w:t>rmation to the L</w:t>
      </w:r>
      <w:r w:rsidR="000B2B4A" w:rsidRPr="001418B7">
        <w:rPr>
          <w:sz w:val="26"/>
          <w:lang w:val="en-CA"/>
        </w:rPr>
        <w:t xml:space="preserve">egislature. The Crown submits that Mr. Livingston’s </w:t>
      </w:r>
      <w:r w:rsidR="00CD152A" w:rsidRPr="001418B7">
        <w:rPr>
          <w:sz w:val="26"/>
          <w:lang w:val="en-CA"/>
        </w:rPr>
        <w:t xml:space="preserve">actions violated the basic constitutional principle that </w:t>
      </w:r>
      <w:r w:rsidR="00E1782E" w:rsidRPr="001418B7">
        <w:rPr>
          <w:sz w:val="26"/>
          <w:lang w:val="en-CA"/>
        </w:rPr>
        <w:t xml:space="preserve">governments and their agents </w:t>
      </w:r>
      <w:r w:rsidR="00FA5110" w:rsidRPr="001418B7">
        <w:rPr>
          <w:sz w:val="26"/>
          <w:lang w:val="en-CA"/>
        </w:rPr>
        <w:t>must conduct</w:t>
      </w:r>
      <w:r w:rsidR="002076E4">
        <w:rPr>
          <w:sz w:val="26"/>
          <w:lang w:val="en-CA"/>
        </w:rPr>
        <w:t xml:space="preserve"> themselves</w:t>
      </w:r>
      <w:r w:rsidR="00FA5110" w:rsidRPr="001418B7">
        <w:rPr>
          <w:sz w:val="26"/>
          <w:lang w:val="en-CA"/>
        </w:rPr>
        <w:t xml:space="preserve"> according to the rule of law</w:t>
      </w:r>
      <w:r w:rsidR="00E1782E" w:rsidRPr="001418B7">
        <w:rPr>
          <w:sz w:val="26"/>
          <w:lang w:val="en-CA"/>
        </w:rPr>
        <w:t>.</w:t>
      </w:r>
    </w:p>
    <w:p w:rsidR="004E0A1C" w:rsidRPr="001418B7" w:rsidRDefault="00FA5110" w:rsidP="005C4EB7">
      <w:pPr>
        <w:pStyle w:val="MAINPARAGRAPH"/>
        <w:rPr>
          <w:b/>
          <w:sz w:val="26"/>
          <w:lang w:val="en-CA"/>
        </w:rPr>
      </w:pPr>
      <w:r w:rsidRPr="001418B7">
        <w:rPr>
          <w:sz w:val="26"/>
          <w:lang w:val="en-CA"/>
        </w:rPr>
        <w:t>After closing its case</w:t>
      </w:r>
      <w:r w:rsidR="00810580" w:rsidRPr="001418B7">
        <w:rPr>
          <w:sz w:val="26"/>
          <w:lang w:val="en-CA"/>
        </w:rPr>
        <w:t xml:space="preserve">, the Crown </w:t>
      </w:r>
      <w:r w:rsidR="00B350B5">
        <w:rPr>
          <w:sz w:val="26"/>
          <w:lang w:val="en-CA"/>
        </w:rPr>
        <w:t>abandoned the count of Breach of Trust by a P</w:t>
      </w:r>
      <w:r w:rsidR="00DC020A" w:rsidRPr="001418B7">
        <w:rPr>
          <w:sz w:val="26"/>
          <w:lang w:val="en-CA"/>
        </w:rPr>
        <w:t xml:space="preserve">ublic </w:t>
      </w:r>
      <w:r w:rsidR="00B350B5">
        <w:rPr>
          <w:sz w:val="26"/>
          <w:lang w:val="en-CA"/>
        </w:rPr>
        <w:t>O</w:t>
      </w:r>
      <w:r w:rsidR="00426CCB" w:rsidRPr="001418B7">
        <w:rPr>
          <w:sz w:val="26"/>
          <w:lang w:val="en-CA"/>
        </w:rPr>
        <w:t xml:space="preserve">fficial, contrary to s. 122 of the </w:t>
      </w:r>
      <w:r w:rsidR="00426CCB" w:rsidRPr="001418B7">
        <w:rPr>
          <w:i/>
          <w:sz w:val="26"/>
          <w:lang w:val="en-CA"/>
        </w:rPr>
        <w:t>Criminal Code</w:t>
      </w:r>
      <w:r w:rsidR="00366609" w:rsidRPr="001418B7">
        <w:rPr>
          <w:sz w:val="26"/>
          <w:lang w:val="en-CA"/>
        </w:rPr>
        <w:t xml:space="preserve"> on the basis that </w:t>
      </w:r>
      <w:r w:rsidR="00DC020A" w:rsidRPr="001418B7">
        <w:rPr>
          <w:sz w:val="26"/>
          <w:lang w:val="en-CA"/>
        </w:rPr>
        <w:t>there was no reasonable prospect of conviction</w:t>
      </w:r>
      <w:r w:rsidR="00426CCB" w:rsidRPr="001418B7">
        <w:rPr>
          <w:sz w:val="26"/>
          <w:lang w:val="en-CA"/>
        </w:rPr>
        <w:t>. Th</w:t>
      </w:r>
      <w:r w:rsidR="007D291A" w:rsidRPr="001418B7">
        <w:rPr>
          <w:sz w:val="26"/>
          <w:lang w:val="en-CA"/>
        </w:rPr>
        <w:t xml:space="preserve">at count was dismissed at the request of the prosecution. </w:t>
      </w:r>
    </w:p>
    <w:p w:rsidR="00DA7A6A" w:rsidRPr="001418B7" w:rsidRDefault="004E0A1C" w:rsidP="005C4EB7">
      <w:pPr>
        <w:pStyle w:val="MAINPARAGRAPH"/>
        <w:rPr>
          <w:b/>
          <w:sz w:val="26"/>
          <w:lang w:val="en-CA"/>
        </w:rPr>
      </w:pPr>
      <w:r w:rsidRPr="001418B7">
        <w:rPr>
          <w:sz w:val="26"/>
          <w:lang w:val="en-CA"/>
        </w:rPr>
        <w:lastRenderedPageBreak/>
        <w:t xml:space="preserve"> However, even in the absenc</w:t>
      </w:r>
      <w:r w:rsidR="000E36EA">
        <w:rPr>
          <w:sz w:val="26"/>
          <w:lang w:val="en-CA"/>
        </w:rPr>
        <w:t>e of a finding of guilt for the</w:t>
      </w:r>
      <w:r w:rsidR="004E3A48">
        <w:rPr>
          <w:sz w:val="26"/>
          <w:lang w:val="en-CA"/>
        </w:rPr>
        <w:t xml:space="preserve"> s. 122 offence,</w:t>
      </w:r>
      <w:r w:rsidRPr="001418B7">
        <w:rPr>
          <w:sz w:val="26"/>
          <w:lang w:val="en-CA"/>
        </w:rPr>
        <w:t xml:space="preserve"> Crown</w:t>
      </w:r>
      <w:r w:rsidR="00240A72">
        <w:rPr>
          <w:sz w:val="26"/>
          <w:lang w:val="en-CA"/>
        </w:rPr>
        <w:t xml:space="preserve"> counsel</w:t>
      </w:r>
      <w:r w:rsidRPr="001418B7">
        <w:rPr>
          <w:sz w:val="26"/>
          <w:lang w:val="en-CA"/>
        </w:rPr>
        <w:t xml:space="preserve"> submits that </w:t>
      </w:r>
      <w:r w:rsidR="00DA7A6A" w:rsidRPr="001418B7">
        <w:rPr>
          <w:sz w:val="26"/>
          <w:lang w:val="en-CA"/>
        </w:rPr>
        <w:t xml:space="preserve">the fact Mr. Livingston was in a position of trust </w:t>
      </w:r>
      <w:r w:rsidR="00240A72">
        <w:rPr>
          <w:sz w:val="26"/>
          <w:lang w:val="en-CA"/>
        </w:rPr>
        <w:t>when he committed the offence</w:t>
      </w:r>
      <w:r w:rsidR="00DA7A6A" w:rsidRPr="001418B7">
        <w:rPr>
          <w:sz w:val="26"/>
          <w:lang w:val="en-CA"/>
        </w:rPr>
        <w:t xml:space="preserve"> is a particularly aggr</w:t>
      </w:r>
      <w:r w:rsidR="000F2EF5">
        <w:rPr>
          <w:sz w:val="26"/>
          <w:lang w:val="en-CA"/>
        </w:rPr>
        <w:t>avating factor. The Crown</w:t>
      </w:r>
      <w:r w:rsidR="00240A72">
        <w:rPr>
          <w:sz w:val="26"/>
          <w:lang w:val="en-CA"/>
        </w:rPr>
        <w:t xml:space="preserve"> </w:t>
      </w:r>
      <w:r w:rsidR="00DA7A6A" w:rsidRPr="001418B7">
        <w:rPr>
          <w:sz w:val="26"/>
          <w:lang w:val="en-CA"/>
        </w:rPr>
        <w:t>says that as Chief of Staff, he failed to act in the best interests of the public</w:t>
      </w:r>
      <w:r w:rsidR="000F2EF5">
        <w:rPr>
          <w:sz w:val="26"/>
          <w:lang w:val="en-CA"/>
        </w:rPr>
        <w:t>. It is submitted</w:t>
      </w:r>
      <w:r w:rsidR="00240A72">
        <w:rPr>
          <w:sz w:val="26"/>
          <w:lang w:val="en-CA"/>
        </w:rPr>
        <w:t xml:space="preserve"> that Mr. Livingston</w:t>
      </w:r>
      <w:r w:rsidR="005E1883" w:rsidRPr="001418B7">
        <w:rPr>
          <w:sz w:val="26"/>
          <w:lang w:val="en-CA"/>
        </w:rPr>
        <w:t xml:space="preserve"> abused his position of power by choosing to undertake criminal acts that protected the governing party at the expense of democratic accountability.</w:t>
      </w:r>
    </w:p>
    <w:p w:rsidR="0063690A" w:rsidRPr="001418B7" w:rsidRDefault="00E02605" w:rsidP="00486557">
      <w:pPr>
        <w:pStyle w:val="MAINPARAGRAPH"/>
        <w:rPr>
          <w:b/>
          <w:sz w:val="26"/>
          <w:lang w:val="en-CA"/>
        </w:rPr>
      </w:pPr>
      <w:r w:rsidRPr="001418B7">
        <w:rPr>
          <w:sz w:val="26"/>
          <w:lang w:val="en-CA"/>
        </w:rPr>
        <w:t xml:space="preserve"> </w:t>
      </w:r>
      <w:r w:rsidR="0063690A" w:rsidRPr="001418B7">
        <w:rPr>
          <w:sz w:val="26"/>
          <w:lang w:val="en-CA"/>
        </w:rPr>
        <w:t xml:space="preserve">The Crown does not dispute </w:t>
      </w:r>
      <w:r w:rsidR="005B5E14" w:rsidRPr="001418B7">
        <w:rPr>
          <w:sz w:val="26"/>
          <w:lang w:val="en-CA"/>
        </w:rPr>
        <w:t xml:space="preserve">that Mr. Livingston is </w:t>
      </w:r>
      <w:r w:rsidR="00375912">
        <w:rPr>
          <w:sz w:val="26"/>
          <w:lang w:val="en-CA"/>
        </w:rPr>
        <w:t>otherwise</w:t>
      </w:r>
      <w:r w:rsidR="00320D6B">
        <w:rPr>
          <w:sz w:val="26"/>
          <w:lang w:val="en-CA"/>
        </w:rPr>
        <w:t xml:space="preserve"> a person of</w:t>
      </w:r>
      <w:r w:rsidR="00375912">
        <w:rPr>
          <w:sz w:val="26"/>
          <w:lang w:val="en-CA"/>
        </w:rPr>
        <w:t xml:space="preserve"> </w:t>
      </w:r>
      <w:r w:rsidR="005B5E14" w:rsidRPr="001418B7">
        <w:rPr>
          <w:sz w:val="26"/>
          <w:lang w:val="en-CA"/>
        </w:rPr>
        <w:t>good character</w:t>
      </w:r>
      <w:r w:rsidR="0070672C">
        <w:rPr>
          <w:sz w:val="26"/>
          <w:lang w:val="en-CA"/>
        </w:rPr>
        <w:t>,</w:t>
      </w:r>
      <w:r w:rsidR="005B5E14" w:rsidRPr="001418B7">
        <w:rPr>
          <w:sz w:val="26"/>
          <w:lang w:val="en-CA"/>
        </w:rPr>
        <w:t xml:space="preserve"> but urges the court </w:t>
      </w:r>
      <w:r w:rsidR="00B70D91" w:rsidRPr="001418B7">
        <w:rPr>
          <w:sz w:val="26"/>
          <w:lang w:val="en-CA"/>
        </w:rPr>
        <w:t xml:space="preserve">not </w:t>
      </w:r>
      <w:r w:rsidR="005B5E14" w:rsidRPr="001418B7">
        <w:rPr>
          <w:sz w:val="26"/>
          <w:lang w:val="en-CA"/>
        </w:rPr>
        <w:t>to give this mitigating factor undue weight.</w:t>
      </w:r>
      <w:r w:rsidR="0077219D">
        <w:rPr>
          <w:sz w:val="26"/>
          <w:lang w:val="en-CA"/>
        </w:rPr>
        <w:t xml:space="preserve"> It is submitted </w:t>
      </w:r>
      <w:r w:rsidR="00FD0561" w:rsidRPr="001418B7">
        <w:rPr>
          <w:sz w:val="26"/>
          <w:lang w:val="en-CA"/>
        </w:rPr>
        <w:t>that no one but a person with</w:t>
      </w:r>
      <w:r w:rsidR="00570776" w:rsidRPr="001418B7">
        <w:rPr>
          <w:sz w:val="26"/>
          <w:lang w:val="en-CA"/>
        </w:rPr>
        <w:t xml:space="preserve"> the defendant’s background and character could </w:t>
      </w:r>
      <w:r w:rsidR="00320D6B">
        <w:rPr>
          <w:sz w:val="26"/>
          <w:lang w:val="en-CA"/>
        </w:rPr>
        <w:t>be appointed to the position of Chief of Staff to the Premier</w:t>
      </w:r>
      <w:r w:rsidR="00D34C2E">
        <w:rPr>
          <w:sz w:val="26"/>
          <w:lang w:val="en-CA"/>
        </w:rPr>
        <w:t>.</w:t>
      </w:r>
      <w:r w:rsidR="00FD0561" w:rsidRPr="001418B7">
        <w:rPr>
          <w:sz w:val="26"/>
          <w:lang w:val="en-CA"/>
        </w:rPr>
        <w:t xml:space="preserve"> </w:t>
      </w:r>
      <w:r w:rsidR="008A1897" w:rsidRPr="001418B7">
        <w:rPr>
          <w:sz w:val="26"/>
          <w:lang w:val="en-CA"/>
        </w:rPr>
        <w:t xml:space="preserve">The Crown contends </w:t>
      </w:r>
      <w:r w:rsidR="0065101E" w:rsidRPr="001418B7">
        <w:rPr>
          <w:sz w:val="26"/>
          <w:lang w:val="en-CA"/>
        </w:rPr>
        <w:t>that the</w:t>
      </w:r>
      <w:r w:rsidR="00375912">
        <w:rPr>
          <w:sz w:val="26"/>
          <w:lang w:val="en-CA"/>
        </w:rPr>
        <w:t xml:space="preserve"> circumstances of this offence dictate that it</w:t>
      </w:r>
      <w:r w:rsidR="00570776" w:rsidRPr="001418B7">
        <w:rPr>
          <w:sz w:val="26"/>
          <w:lang w:val="en-CA"/>
        </w:rPr>
        <w:t xml:space="preserve"> could only be com</w:t>
      </w:r>
      <w:r w:rsidR="00487402">
        <w:rPr>
          <w:sz w:val="26"/>
          <w:lang w:val="en-CA"/>
        </w:rPr>
        <w:t xml:space="preserve">mitted by a person of </w:t>
      </w:r>
      <w:r w:rsidR="00570776" w:rsidRPr="001418B7">
        <w:rPr>
          <w:sz w:val="26"/>
          <w:lang w:val="en-CA"/>
        </w:rPr>
        <w:t xml:space="preserve">good character who had reached </w:t>
      </w:r>
      <w:r w:rsidR="00487402">
        <w:rPr>
          <w:sz w:val="26"/>
          <w:lang w:val="en-CA"/>
        </w:rPr>
        <w:t>this</w:t>
      </w:r>
      <w:r w:rsidR="00D92594" w:rsidRPr="001418B7">
        <w:rPr>
          <w:sz w:val="26"/>
          <w:lang w:val="en-CA"/>
        </w:rPr>
        <w:t xml:space="preserve"> position of power</w:t>
      </w:r>
      <w:r w:rsidR="00FD0561" w:rsidRPr="001418B7">
        <w:rPr>
          <w:sz w:val="26"/>
          <w:lang w:val="en-CA"/>
        </w:rPr>
        <w:t>.</w:t>
      </w:r>
      <w:r w:rsidR="00487402">
        <w:rPr>
          <w:sz w:val="26"/>
          <w:lang w:val="en-CA"/>
        </w:rPr>
        <w:t xml:space="preserve"> It is the use of this p</w:t>
      </w:r>
      <w:r w:rsidR="0077219D">
        <w:rPr>
          <w:sz w:val="26"/>
          <w:lang w:val="en-CA"/>
        </w:rPr>
        <w:t>ower for an unlawful purpose, the prosecution</w:t>
      </w:r>
      <w:r w:rsidR="00487402">
        <w:rPr>
          <w:sz w:val="26"/>
          <w:lang w:val="en-CA"/>
        </w:rPr>
        <w:t xml:space="preserve"> says</w:t>
      </w:r>
      <w:r w:rsidR="001C160F">
        <w:rPr>
          <w:sz w:val="26"/>
          <w:lang w:val="en-CA"/>
        </w:rPr>
        <w:t>, that dictates</w:t>
      </w:r>
      <w:r w:rsidR="00487402">
        <w:rPr>
          <w:sz w:val="26"/>
          <w:lang w:val="en-CA"/>
        </w:rPr>
        <w:t xml:space="preserve"> a significant sanction.</w:t>
      </w:r>
    </w:p>
    <w:p w:rsidR="001B38EA" w:rsidRPr="001418B7" w:rsidRDefault="001B38EA" w:rsidP="005C4EB7">
      <w:pPr>
        <w:pStyle w:val="MAINPARAGRAPH"/>
        <w:rPr>
          <w:b/>
          <w:sz w:val="26"/>
          <w:lang w:val="en-CA"/>
        </w:rPr>
      </w:pPr>
      <w:r w:rsidRPr="001418B7">
        <w:rPr>
          <w:sz w:val="26"/>
          <w:lang w:val="en-CA"/>
        </w:rPr>
        <w:t>The Crown submits that th</w:t>
      </w:r>
      <w:r w:rsidR="00041AF2" w:rsidRPr="001418B7">
        <w:rPr>
          <w:sz w:val="26"/>
          <w:lang w:val="en-CA"/>
        </w:rPr>
        <w:t>e adver</w:t>
      </w:r>
      <w:r w:rsidR="000903EF" w:rsidRPr="001418B7">
        <w:rPr>
          <w:sz w:val="26"/>
          <w:lang w:val="en-CA"/>
        </w:rPr>
        <w:t xml:space="preserve">se publicity and media attention </w:t>
      </w:r>
      <w:r w:rsidR="00041AF2" w:rsidRPr="001418B7">
        <w:rPr>
          <w:sz w:val="26"/>
          <w:lang w:val="en-CA"/>
        </w:rPr>
        <w:t>should not be considered a mitigating circumstance</w:t>
      </w:r>
      <w:r w:rsidR="00F45D46" w:rsidRPr="001418B7">
        <w:rPr>
          <w:sz w:val="26"/>
          <w:lang w:val="en-CA"/>
        </w:rPr>
        <w:t xml:space="preserve">. </w:t>
      </w:r>
      <w:r w:rsidR="000903EF" w:rsidRPr="001418B7">
        <w:rPr>
          <w:sz w:val="26"/>
          <w:lang w:val="en-CA"/>
        </w:rPr>
        <w:t>Rather</w:t>
      </w:r>
      <w:r w:rsidR="000F2EF5">
        <w:rPr>
          <w:sz w:val="26"/>
          <w:lang w:val="en-CA"/>
        </w:rPr>
        <w:t>, it is argued</w:t>
      </w:r>
      <w:r w:rsidR="00924DBC" w:rsidRPr="001418B7">
        <w:rPr>
          <w:sz w:val="26"/>
          <w:lang w:val="en-CA"/>
        </w:rPr>
        <w:t xml:space="preserve"> that </w:t>
      </w:r>
      <w:r w:rsidR="002A771B" w:rsidRPr="001418B7">
        <w:rPr>
          <w:sz w:val="26"/>
          <w:lang w:val="en-CA"/>
        </w:rPr>
        <w:t xml:space="preserve">the negative media attention is the </w:t>
      </w:r>
      <w:r w:rsidR="00DA7BB4" w:rsidRPr="001418B7">
        <w:rPr>
          <w:sz w:val="26"/>
          <w:lang w:val="en-CA"/>
        </w:rPr>
        <w:t>inevitable consequence of being prosecuted and sentenced for an offence of this nature</w:t>
      </w:r>
      <w:r w:rsidR="00F46621" w:rsidRPr="001418B7">
        <w:rPr>
          <w:sz w:val="26"/>
          <w:lang w:val="en-CA"/>
        </w:rPr>
        <w:t>.</w:t>
      </w:r>
    </w:p>
    <w:p w:rsidR="003B47F9" w:rsidRPr="001418B7" w:rsidRDefault="003B47F9" w:rsidP="003B47F9">
      <w:pPr>
        <w:pStyle w:val="MAINPARAGRAPH"/>
        <w:numPr>
          <w:ilvl w:val="0"/>
          <w:numId w:val="0"/>
        </w:numPr>
        <w:rPr>
          <w:b/>
          <w:sz w:val="26"/>
          <w:lang w:val="en-CA"/>
        </w:rPr>
      </w:pPr>
      <w:r w:rsidRPr="001418B7">
        <w:rPr>
          <w:b/>
          <w:sz w:val="26"/>
          <w:lang w:val="en-CA"/>
        </w:rPr>
        <w:t>Position of the Defence</w:t>
      </w:r>
    </w:p>
    <w:p w:rsidR="000F6230" w:rsidRPr="001418B7" w:rsidRDefault="00CB77C6" w:rsidP="0067505C">
      <w:pPr>
        <w:pStyle w:val="MAINPARAGRAPH"/>
        <w:rPr>
          <w:b/>
          <w:sz w:val="26"/>
          <w:lang w:val="en-CA"/>
        </w:rPr>
      </w:pPr>
      <w:r w:rsidRPr="001418B7">
        <w:rPr>
          <w:sz w:val="26"/>
          <w:lang w:val="en-CA"/>
        </w:rPr>
        <w:t>The defence submits</w:t>
      </w:r>
      <w:r w:rsidR="00064D8A" w:rsidRPr="001418B7">
        <w:rPr>
          <w:sz w:val="26"/>
          <w:lang w:val="en-CA"/>
        </w:rPr>
        <w:t xml:space="preserve"> that Mr. Livingston</w:t>
      </w:r>
      <w:r w:rsidR="00764972" w:rsidRPr="001418B7">
        <w:rPr>
          <w:sz w:val="26"/>
          <w:lang w:val="en-CA"/>
        </w:rPr>
        <w:t xml:space="preserve"> is a man of otherwise e</w:t>
      </w:r>
      <w:r w:rsidR="009E5AD6" w:rsidRPr="001418B7">
        <w:rPr>
          <w:sz w:val="26"/>
          <w:lang w:val="en-CA"/>
        </w:rPr>
        <w:t xml:space="preserve">xemplary character, </w:t>
      </w:r>
      <w:r w:rsidR="00764972" w:rsidRPr="001418B7">
        <w:rPr>
          <w:sz w:val="26"/>
          <w:lang w:val="en-CA"/>
        </w:rPr>
        <w:t xml:space="preserve">a first offender who in </w:t>
      </w:r>
      <w:r w:rsidR="00B70D91" w:rsidRPr="001418B7">
        <w:rPr>
          <w:sz w:val="26"/>
          <w:lang w:val="en-CA"/>
        </w:rPr>
        <w:t xml:space="preserve">both </w:t>
      </w:r>
      <w:r w:rsidR="00764972" w:rsidRPr="001418B7">
        <w:rPr>
          <w:sz w:val="26"/>
          <w:lang w:val="en-CA"/>
        </w:rPr>
        <w:t xml:space="preserve">his professional career and personal life has made a strong contribution to the community. </w:t>
      </w:r>
      <w:r w:rsidR="009E5AD6" w:rsidRPr="001418B7">
        <w:rPr>
          <w:sz w:val="26"/>
          <w:lang w:val="en-CA"/>
        </w:rPr>
        <w:t>Counsel points to the negative impact of the intense media interest in this case on the previous</w:t>
      </w:r>
      <w:r w:rsidR="008F7831">
        <w:rPr>
          <w:sz w:val="26"/>
          <w:lang w:val="en-CA"/>
        </w:rPr>
        <w:t>ly</w:t>
      </w:r>
      <w:r w:rsidR="009E5AD6" w:rsidRPr="001418B7">
        <w:rPr>
          <w:sz w:val="26"/>
          <w:lang w:val="en-CA"/>
        </w:rPr>
        <w:t xml:space="preserve"> stellar repu</w:t>
      </w:r>
      <w:r w:rsidR="00982995">
        <w:rPr>
          <w:sz w:val="26"/>
          <w:lang w:val="en-CA"/>
        </w:rPr>
        <w:t xml:space="preserve">tation of the defendant that was </w:t>
      </w:r>
      <w:r w:rsidR="009E5AD6" w:rsidRPr="001418B7">
        <w:rPr>
          <w:sz w:val="26"/>
          <w:lang w:val="en-CA"/>
        </w:rPr>
        <w:t>built over a lifetime of good wor</w:t>
      </w:r>
      <w:r w:rsidR="008F7831">
        <w:rPr>
          <w:sz w:val="26"/>
          <w:lang w:val="en-CA"/>
        </w:rPr>
        <w:t xml:space="preserve">ks and </w:t>
      </w:r>
      <w:r w:rsidR="00981D18" w:rsidRPr="001418B7">
        <w:rPr>
          <w:sz w:val="26"/>
          <w:lang w:val="en-CA"/>
        </w:rPr>
        <w:t xml:space="preserve">so quickly destroyed. The public attention, </w:t>
      </w:r>
      <w:r w:rsidR="000F6230" w:rsidRPr="001418B7">
        <w:rPr>
          <w:sz w:val="26"/>
          <w:lang w:val="en-CA"/>
        </w:rPr>
        <w:t>he says, has been deeply humiliating for hi</w:t>
      </w:r>
      <w:r w:rsidR="008F7831">
        <w:rPr>
          <w:sz w:val="26"/>
          <w:lang w:val="en-CA"/>
        </w:rPr>
        <w:t xml:space="preserve">s client and his family and </w:t>
      </w:r>
      <w:r w:rsidR="00AB06CE">
        <w:rPr>
          <w:sz w:val="26"/>
          <w:lang w:val="en-CA"/>
        </w:rPr>
        <w:t xml:space="preserve">has </w:t>
      </w:r>
      <w:r w:rsidR="000F6230" w:rsidRPr="001418B7">
        <w:rPr>
          <w:sz w:val="26"/>
          <w:lang w:val="en-CA"/>
        </w:rPr>
        <w:t xml:space="preserve">taken a significant toll on all of them. </w:t>
      </w:r>
    </w:p>
    <w:p w:rsidR="00B92A9C" w:rsidRPr="001418B7" w:rsidRDefault="00CA622D" w:rsidP="0067505C">
      <w:pPr>
        <w:pStyle w:val="MAINPARAGRAPH"/>
        <w:rPr>
          <w:b/>
          <w:sz w:val="26"/>
          <w:lang w:val="en-CA"/>
        </w:rPr>
      </w:pPr>
      <w:r w:rsidRPr="001418B7">
        <w:rPr>
          <w:sz w:val="26"/>
          <w:lang w:val="en-CA"/>
        </w:rPr>
        <w:t>The defence submits that</w:t>
      </w:r>
      <w:r w:rsidR="00A61BD6" w:rsidRPr="001418B7">
        <w:rPr>
          <w:sz w:val="26"/>
          <w:lang w:val="en-CA"/>
        </w:rPr>
        <w:t xml:space="preserve"> on the evidence,</w:t>
      </w:r>
      <w:r w:rsidRPr="001418B7">
        <w:rPr>
          <w:sz w:val="26"/>
          <w:lang w:val="en-CA"/>
        </w:rPr>
        <w:t xml:space="preserve"> the court is not entitled to find </w:t>
      </w:r>
      <w:r w:rsidR="001D5B38" w:rsidRPr="001418B7">
        <w:rPr>
          <w:sz w:val="26"/>
          <w:lang w:val="en-CA"/>
        </w:rPr>
        <w:t>as an aggrava</w:t>
      </w:r>
      <w:r w:rsidR="00A61BD6" w:rsidRPr="001418B7">
        <w:rPr>
          <w:sz w:val="26"/>
          <w:lang w:val="en-CA"/>
        </w:rPr>
        <w:t xml:space="preserve">ting factor under </w:t>
      </w:r>
      <w:r w:rsidR="004B36A5" w:rsidRPr="001418B7">
        <w:rPr>
          <w:sz w:val="26"/>
          <w:lang w:val="en-CA"/>
        </w:rPr>
        <w:t xml:space="preserve">s. 718.2 that </w:t>
      </w:r>
      <w:r w:rsidR="00AB18EC" w:rsidRPr="001418B7">
        <w:rPr>
          <w:sz w:val="26"/>
          <w:lang w:val="en-CA"/>
        </w:rPr>
        <w:t>Mr. Livingston</w:t>
      </w:r>
      <w:r w:rsidR="00817EB5" w:rsidRPr="001418B7">
        <w:rPr>
          <w:sz w:val="26"/>
          <w:lang w:val="en-CA"/>
        </w:rPr>
        <w:t>, in committing the offence,</w:t>
      </w:r>
      <w:r w:rsidR="00AB18EC" w:rsidRPr="001418B7">
        <w:rPr>
          <w:sz w:val="26"/>
          <w:lang w:val="en-CA"/>
        </w:rPr>
        <w:t xml:space="preserve"> abused a posi</w:t>
      </w:r>
      <w:r w:rsidR="00B92A9C" w:rsidRPr="001418B7">
        <w:rPr>
          <w:sz w:val="26"/>
          <w:lang w:val="en-CA"/>
        </w:rPr>
        <w:t xml:space="preserve">tion of trust or authority. Counsel contends that because the court </w:t>
      </w:r>
      <w:r w:rsidR="008B5887">
        <w:rPr>
          <w:sz w:val="26"/>
          <w:lang w:val="en-CA"/>
        </w:rPr>
        <w:t>acquitted the defendant on the Breach of T</w:t>
      </w:r>
      <w:r w:rsidR="00B92A9C" w:rsidRPr="001418B7">
        <w:rPr>
          <w:sz w:val="26"/>
          <w:lang w:val="en-CA"/>
        </w:rPr>
        <w:t xml:space="preserve">rust count, any </w:t>
      </w:r>
      <w:r w:rsidR="003219F0">
        <w:rPr>
          <w:sz w:val="26"/>
          <w:lang w:val="en-CA"/>
        </w:rPr>
        <w:t xml:space="preserve">such </w:t>
      </w:r>
      <w:r w:rsidR="0070672C">
        <w:rPr>
          <w:sz w:val="26"/>
          <w:lang w:val="en-CA"/>
        </w:rPr>
        <w:t>issue underlying that</w:t>
      </w:r>
      <w:r w:rsidR="00B92A9C" w:rsidRPr="001418B7">
        <w:rPr>
          <w:sz w:val="26"/>
          <w:lang w:val="en-CA"/>
        </w:rPr>
        <w:t xml:space="preserve"> offence </w:t>
      </w:r>
      <w:r w:rsidR="002E2699" w:rsidRPr="001418B7">
        <w:rPr>
          <w:sz w:val="26"/>
          <w:lang w:val="en-CA"/>
        </w:rPr>
        <w:t>must be presumed to have been decided in the defendant’s favour.</w:t>
      </w:r>
    </w:p>
    <w:p w:rsidR="002E4DBE" w:rsidRPr="001418B7" w:rsidRDefault="00C05E3D" w:rsidP="0067505C">
      <w:pPr>
        <w:pStyle w:val="MAINPARAGRAPH"/>
        <w:rPr>
          <w:b/>
          <w:sz w:val="26"/>
          <w:lang w:val="en-CA"/>
        </w:rPr>
      </w:pPr>
      <w:r w:rsidRPr="001418B7">
        <w:rPr>
          <w:sz w:val="26"/>
          <w:lang w:val="en-CA"/>
        </w:rPr>
        <w:t xml:space="preserve">The defence </w:t>
      </w:r>
      <w:r w:rsidR="0010413D">
        <w:rPr>
          <w:sz w:val="26"/>
          <w:lang w:val="en-CA"/>
        </w:rPr>
        <w:t xml:space="preserve">also </w:t>
      </w:r>
      <w:r w:rsidR="00E76B39" w:rsidRPr="001418B7">
        <w:rPr>
          <w:sz w:val="26"/>
          <w:lang w:val="en-CA"/>
        </w:rPr>
        <w:t>asks the court to consider the fact that the Crown</w:t>
      </w:r>
      <w:r w:rsidR="0084656B" w:rsidRPr="001418B7">
        <w:rPr>
          <w:sz w:val="26"/>
          <w:lang w:val="en-CA"/>
        </w:rPr>
        <w:t xml:space="preserve"> failed to establish that the defendant’s conduct caused actual harm, given the absence of evidence</w:t>
      </w:r>
      <w:r w:rsidR="00E06443" w:rsidRPr="001418B7">
        <w:rPr>
          <w:sz w:val="26"/>
          <w:lang w:val="en-CA"/>
        </w:rPr>
        <w:t xml:space="preserve"> that any work-related documents were destroyed.  Counsel s</w:t>
      </w:r>
      <w:r w:rsidR="0010413D">
        <w:rPr>
          <w:sz w:val="26"/>
          <w:lang w:val="en-CA"/>
        </w:rPr>
        <w:t>ubmits</w:t>
      </w:r>
      <w:r w:rsidR="00460191">
        <w:rPr>
          <w:sz w:val="26"/>
          <w:lang w:val="en-CA"/>
        </w:rPr>
        <w:t>,</w:t>
      </w:r>
      <w:r w:rsidR="0010413D">
        <w:rPr>
          <w:sz w:val="26"/>
          <w:lang w:val="en-CA"/>
        </w:rPr>
        <w:t xml:space="preserve"> as well</w:t>
      </w:r>
      <w:r w:rsidR="00460191">
        <w:rPr>
          <w:sz w:val="26"/>
          <w:lang w:val="en-CA"/>
        </w:rPr>
        <w:t>,</w:t>
      </w:r>
      <w:r w:rsidR="0010413D">
        <w:rPr>
          <w:sz w:val="26"/>
          <w:lang w:val="en-CA"/>
        </w:rPr>
        <w:t xml:space="preserve"> that the offence was not</w:t>
      </w:r>
      <w:r w:rsidR="00E06443" w:rsidRPr="001418B7">
        <w:rPr>
          <w:sz w:val="26"/>
          <w:lang w:val="en-CA"/>
        </w:rPr>
        <w:t xml:space="preserve"> committed over a period</w:t>
      </w:r>
      <w:r w:rsidR="008F7831">
        <w:rPr>
          <w:sz w:val="26"/>
          <w:lang w:val="en-CA"/>
        </w:rPr>
        <w:t xml:space="preserve"> of</w:t>
      </w:r>
      <w:r w:rsidR="00E06443" w:rsidRPr="001418B7">
        <w:rPr>
          <w:sz w:val="26"/>
          <w:lang w:val="en-CA"/>
        </w:rPr>
        <w:t xml:space="preserve"> several months</w:t>
      </w:r>
      <w:r w:rsidR="0010413D">
        <w:rPr>
          <w:sz w:val="26"/>
          <w:lang w:val="en-CA"/>
        </w:rPr>
        <w:t xml:space="preserve"> as alleged by the prosecution</w:t>
      </w:r>
      <w:r w:rsidR="00E06443" w:rsidRPr="001418B7">
        <w:rPr>
          <w:sz w:val="26"/>
          <w:lang w:val="en-CA"/>
        </w:rPr>
        <w:t xml:space="preserve">. He points out that </w:t>
      </w:r>
      <w:r w:rsidR="008D637F" w:rsidRPr="001418B7">
        <w:rPr>
          <w:sz w:val="26"/>
          <w:lang w:val="en-CA"/>
        </w:rPr>
        <w:t>Mr. Livingston approached Cabinet Office for administrative rights on January 24, 2013 and the wiping of the hard drives was complete by February 8.</w:t>
      </w:r>
      <w:r w:rsidR="0039653B" w:rsidRPr="001418B7">
        <w:rPr>
          <w:sz w:val="26"/>
          <w:lang w:val="en-CA"/>
        </w:rPr>
        <w:t xml:space="preserve"> </w:t>
      </w:r>
    </w:p>
    <w:p w:rsidR="005C15E7" w:rsidRPr="005C15E7" w:rsidRDefault="000E1DFE" w:rsidP="005C15E7">
      <w:pPr>
        <w:pStyle w:val="MAINPARAGRAPH"/>
        <w:rPr>
          <w:b/>
          <w:sz w:val="26"/>
          <w:lang w:val="en-CA"/>
        </w:rPr>
      </w:pPr>
      <w:r w:rsidRPr="001418B7">
        <w:rPr>
          <w:sz w:val="26"/>
          <w:lang w:val="en-CA"/>
        </w:rPr>
        <w:lastRenderedPageBreak/>
        <w:t xml:space="preserve">Counsel </w:t>
      </w:r>
      <w:r w:rsidR="00311061" w:rsidRPr="001418B7">
        <w:rPr>
          <w:sz w:val="26"/>
          <w:lang w:val="en-CA"/>
        </w:rPr>
        <w:t>submits that a conditional discharge would not be contrary</w:t>
      </w:r>
      <w:r w:rsidRPr="001418B7">
        <w:rPr>
          <w:sz w:val="26"/>
          <w:lang w:val="en-CA"/>
        </w:rPr>
        <w:t xml:space="preserve"> to the public interest</w:t>
      </w:r>
      <w:r w:rsidR="001B0449" w:rsidRPr="001418B7">
        <w:rPr>
          <w:sz w:val="26"/>
          <w:lang w:val="en-CA"/>
        </w:rPr>
        <w:t>.</w:t>
      </w:r>
      <w:r w:rsidR="00F0477B" w:rsidRPr="001418B7">
        <w:rPr>
          <w:sz w:val="26"/>
          <w:lang w:val="en-CA"/>
        </w:rPr>
        <w:t xml:space="preserve"> </w:t>
      </w:r>
      <w:r w:rsidRPr="001418B7">
        <w:rPr>
          <w:sz w:val="26"/>
          <w:lang w:val="en-CA"/>
        </w:rPr>
        <w:t>He says that taking into account that</w:t>
      </w:r>
      <w:r w:rsidR="00511F4D">
        <w:rPr>
          <w:sz w:val="26"/>
          <w:lang w:val="en-CA"/>
        </w:rPr>
        <w:t xml:space="preserve"> there was an acquittal on the Breach of T</w:t>
      </w:r>
      <w:r w:rsidRPr="001418B7">
        <w:rPr>
          <w:sz w:val="26"/>
          <w:lang w:val="en-CA"/>
        </w:rPr>
        <w:t xml:space="preserve">rust </w:t>
      </w:r>
      <w:r w:rsidR="00550F81">
        <w:rPr>
          <w:sz w:val="26"/>
          <w:lang w:val="en-CA"/>
        </w:rPr>
        <w:t xml:space="preserve">count </w:t>
      </w:r>
      <w:r w:rsidR="002C263E" w:rsidRPr="001418B7">
        <w:rPr>
          <w:sz w:val="26"/>
          <w:lang w:val="en-CA"/>
        </w:rPr>
        <w:t>and that the defendant’s actions had no effect on government documents, the necessary level of both general deterrence</w:t>
      </w:r>
      <w:r w:rsidR="00460191">
        <w:rPr>
          <w:sz w:val="26"/>
          <w:lang w:val="en-CA"/>
        </w:rPr>
        <w:t xml:space="preserve"> and </w:t>
      </w:r>
      <w:r w:rsidR="004E220A">
        <w:rPr>
          <w:sz w:val="26"/>
          <w:lang w:val="en-CA"/>
        </w:rPr>
        <w:t>denunciation</w:t>
      </w:r>
      <w:r w:rsidR="00E90CBF">
        <w:rPr>
          <w:sz w:val="26"/>
          <w:lang w:val="en-CA"/>
        </w:rPr>
        <w:t xml:space="preserve"> have</w:t>
      </w:r>
      <w:r w:rsidR="002C263E" w:rsidRPr="001418B7">
        <w:rPr>
          <w:sz w:val="26"/>
          <w:lang w:val="en-CA"/>
        </w:rPr>
        <w:t xml:space="preserve"> already been achieved. In this regard, counsel suggests </w:t>
      </w:r>
      <w:r w:rsidR="004E220A">
        <w:rPr>
          <w:sz w:val="26"/>
          <w:lang w:val="en-CA"/>
        </w:rPr>
        <w:t>that the</w:t>
      </w:r>
      <w:r w:rsidR="00550F81">
        <w:rPr>
          <w:sz w:val="26"/>
          <w:lang w:val="en-CA"/>
        </w:rPr>
        <w:t xml:space="preserve"> </w:t>
      </w:r>
      <w:r w:rsidR="00B66207" w:rsidRPr="001418B7">
        <w:rPr>
          <w:sz w:val="26"/>
          <w:lang w:val="en-CA"/>
        </w:rPr>
        <w:t xml:space="preserve">reasonable </w:t>
      </w:r>
      <w:r w:rsidR="00550F81">
        <w:rPr>
          <w:sz w:val="26"/>
          <w:lang w:val="en-CA"/>
        </w:rPr>
        <w:t>and info</w:t>
      </w:r>
      <w:r w:rsidR="004E220A">
        <w:rPr>
          <w:sz w:val="26"/>
          <w:lang w:val="en-CA"/>
        </w:rPr>
        <w:t>rmed member of the public</w:t>
      </w:r>
      <w:r w:rsidR="00664C37">
        <w:rPr>
          <w:sz w:val="26"/>
          <w:lang w:val="en-CA"/>
        </w:rPr>
        <w:t xml:space="preserve"> now</w:t>
      </w:r>
      <w:r w:rsidR="004E220A">
        <w:rPr>
          <w:sz w:val="26"/>
          <w:lang w:val="en-CA"/>
        </w:rPr>
        <w:t xml:space="preserve"> knows that the commission of this</w:t>
      </w:r>
      <w:r w:rsidR="00550F81">
        <w:rPr>
          <w:sz w:val="26"/>
          <w:lang w:val="en-CA"/>
        </w:rPr>
        <w:t xml:space="preserve"> offence</w:t>
      </w:r>
      <w:r w:rsidR="00664C37">
        <w:rPr>
          <w:sz w:val="26"/>
          <w:lang w:val="en-CA"/>
        </w:rPr>
        <w:t xml:space="preserve"> can</w:t>
      </w:r>
      <w:r w:rsidR="00B66207" w:rsidRPr="001418B7">
        <w:rPr>
          <w:sz w:val="26"/>
          <w:lang w:val="en-CA"/>
        </w:rPr>
        <w:t xml:space="preserve"> result in criminal charges, a trial, a finding of guilt, an abnormal level o</w:t>
      </w:r>
      <w:r w:rsidR="00511F4D">
        <w:rPr>
          <w:sz w:val="26"/>
          <w:lang w:val="en-CA"/>
        </w:rPr>
        <w:t xml:space="preserve">f negative public attention, </w:t>
      </w:r>
      <w:r w:rsidR="00B66207" w:rsidRPr="001418B7">
        <w:rPr>
          <w:sz w:val="26"/>
          <w:lang w:val="en-CA"/>
        </w:rPr>
        <w:t>aggressive media scrutiny</w:t>
      </w:r>
      <w:r w:rsidR="002A4AFA" w:rsidRPr="001418B7">
        <w:rPr>
          <w:sz w:val="26"/>
          <w:lang w:val="en-CA"/>
        </w:rPr>
        <w:t xml:space="preserve">, </w:t>
      </w:r>
      <w:proofErr w:type="gramStart"/>
      <w:r w:rsidR="002A4AFA" w:rsidRPr="001418B7">
        <w:rPr>
          <w:sz w:val="26"/>
          <w:lang w:val="en-CA"/>
        </w:rPr>
        <w:t>the</w:t>
      </w:r>
      <w:proofErr w:type="gramEnd"/>
      <w:r w:rsidR="002A4AFA" w:rsidRPr="001418B7">
        <w:rPr>
          <w:sz w:val="26"/>
          <w:lang w:val="en-CA"/>
        </w:rPr>
        <w:t xml:space="preserve"> destruction of one’s reputation and potential loss of one’s ability to earn a living.</w:t>
      </w:r>
    </w:p>
    <w:p w:rsidR="005C15E7" w:rsidRPr="005C15E7" w:rsidRDefault="00BF3433" w:rsidP="005C15E7">
      <w:pPr>
        <w:pStyle w:val="MAINPARAGRAPH"/>
        <w:numPr>
          <w:ilvl w:val="0"/>
          <w:numId w:val="0"/>
        </w:numPr>
        <w:rPr>
          <w:b/>
          <w:sz w:val="26"/>
          <w:lang w:val="en-CA"/>
        </w:rPr>
      </w:pPr>
      <w:r w:rsidRPr="005C15E7">
        <w:rPr>
          <w:b/>
          <w:sz w:val="26"/>
          <w:u w:val="single"/>
          <w:lang w:val="en-CA"/>
        </w:rPr>
        <w:t>Analysis</w:t>
      </w:r>
      <w:r w:rsidR="00D105A4" w:rsidRPr="005C15E7">
        <w:rPr>
          <w:sz w:val="26"/>
          <w:lang w:val="en"/>
        </w:rPr>
        <w:t xml:space="preserve"> </w:t>
      </w:r>
    </w:p>
    <w:p w:rsidR="00BF3433" w:rsidRPr="005C15E7" w:rsidRDefault="00256871" w:rsidP="005C15E7">
      <w:pPr>
        <w:pStyle w:val="MAINPARAGRAPH"/>
        <w:rPr>
          <w:b/>
          <w:sz w:val="26"/>
          <w:lang w:val="en-CA"/>
        </w:rPr>
      </w:pPr>
      <w:r w:rsidRPr="005C15E7">
        <w:rPr>
          <w:sz w:val="26"/>
          <w:lang w:val="en"/>
        </w:rPr>
        <w:t>I</w:t>
      </w:r>
      <w:r w:rsidR="00BF3433" w:rsidRPr="005C15E7">
        <w:rPr>
          <w:sz w:val="26"/>
          <w:lang w:val="en"/>
        </w:rPr>
        <w:t xml:space="preserve">n </w:t>
      </w:r>
      <w:r w:rsidR="00BF3433" w:rsidRPr="005C15E7">
        <w:rPr>
          <w:i/>
          <w:iCs/>
          <w:sz w:val="26"/>
          <w:lang w:val="en"/>
        </w:rPr>
        <w:t>R. v. Hamilton</w:t>
      </w:r>
      <w:r w:rsidR="00BF3433" w:rsidRPr="001418B7">
        <w:rPr>
          <w:rStyle w:val="FootnoteReference"/>
          <w:i/>
          <w:iCs/>
          <w:sz w:val="26"/>
          <w:lang w:val="en"/>
        </w:rPr>
        <w:footnoteReference w:id="2"/>
      </w:r>
      <w:r w:rsidR="0070672C">
        <w:rPr>
          <w:iCs/>
          <w:sz w:val="26"/>
          <w:lang w:val="en"/>
        </w:rPr>
        <w:t>,</w:t>
      </w:r>
      <w:r w:rsidR="00725924" w:rsidRPr="005C15E7">
        <w:rPr>
          <w:iCs/>
          <w:sz w:val="26"/>
          <w:lang w:val="en"/>
        </w:rPr>
        <w:t xml:space="preserve"> </w:t>
      </w:r>
      <w:r w:rsidR="005C15E7" w:rsidRPr="005C15E7">
        <w:rPr>
          <w:sz w:val="26"/>
          <w:lang w:val="en"/>
        </w:rPr>
        <w:t xml:space="preserve">Justice Doherty describes the judge’s task of imposing a fit sentence </w:t>
      </w:r>
      <w:r w:rsidR="00725924" w:rsidRPr="005C15E7">
        <w:rPr>
          <w:iCs/>
          <w:sz w:val="26"/>
          <w:lang w:val="en"/>
        </w:rPr>
        <w:t>with</w:t>
      </w:r>
      <w:r w:rsidR="00FC6574" w:rsidRPr="005C15E7">
        <w:rPr>
          <w:iCs/>
          <w:sz w:val="26"/>
          <w:lang w:val="en"/>
        </w:rPr>
        <w:t xml:space="preserve"> this observation</w:t>
      </w:r>
      <w:r w:rsidR="00D105A4" w:rsidRPr="005C15E7">
        <w:rPr>
          <w:iCs/>
          <w:sz w:val="26"/>
          <w:lang w:val="en"/>
        </w:rPr>
        <w:t>:</w:t>
      </w:r>
    </w:p>
    <w:p w:rsidR="00BF3433" w:rsidRPr="001418B7" w:rsidRDefault="00BF3433" w:rsidP="00BF3433">
      <w:pPr>
        <w:pStyle w:val="MAINPARAGRAPH"/>
        <w:numPr>
          <w:ilvl w:val="0"/>
          <w:numId w:val="0"/>
        </w:numPr>
        <w:ind w:left="720"/>
        <w:rPr>
          <w:b/>
          <w:sz w:val="26"/>
          <w:lang w:val="en-CA"/>
        </w:rPr>
      </w:pPr>
      <w:r w:rsidRPr="001418B7">
        <w:rPr>
          <w:sz w:val="26"/>
          <w:lang w:val="en"/>
        </w:rPr>
        <w:t xml:space="preserve">Sentencing is a very human process. Most attempts to describe the proper judicial approach to sentencing are as close to the actual process as a paint-by-numbers landscape is to the real thing…The fixing of a fit sentence is the product of the combined effects of the circumstances of the specific offence and unique attributes of the specific offender. </w:t>
      </w:r>
    </w:p>
    <w:p w:rsidR="00BF3433" w:rsidRPr="001418B7" w:rsidRDefault="00BF3433" w:rsidP="00BF3433">
      <w:pPr>
        <w:pStyle w:val="MAINPARAGRAPH"/>
        <w:rPr>
          <w:b/>
          <w:sz w:val="26"/>
          <w:lang w:val="en-CA"/>
        </w:rPr>
      </w:pPr>
      <w:r w:rsidRPr="001418B7">
        <w:rPr>
          <w:sz w:val="26"/>
        </w:rPr>
        <w:t>Sentencing is not an exact science</w:t>
      </w:r>
      <w:r w:rsidR="00D544CC">
        <w:rPr>
          <w:sz w:val="26"/>
        </w:rPr>
        <w:t>. The</w:t>
      </w:r>
      <w:r w:rsidRPr="001418B7">
        <w:rPr>
          <w:sz w:val="26"/>
        </w:rPr>
        <w:t xml:space="preserve"> case law is clear that trial judges must retain the flexibility needed to do justice in individual cases. Each case must be conducted as an individualized exercise.</w:t>
      </w:r>
      <w:r w:rsidRPr="001418B7">
        <w:rPr>
          <w:rStyle w:val="FootnoteReference"/>
          <w:sz w:val="26"/>
        </w:rPr>
        <w:footnoteReference w:id="3"/>
      </w:r>
      <w:r w:rsidRPr="001418B7">
        <w:rPr>
          <w:sz w:val="26"/>
        </w:rPr>
        <w:t xml:space="preserve"> </w:t>
      </w:r>
      <w:r w:rsidR="00681AC8">
        <w:rPr>
          <w:sz w:val="26"/>
        </w:rPr>
        <w:t xml:space="preserve">Sentencing is </w:t>
      </w:r>
      <w:r w:rsidR="00750170">
        <w:rPr>
          <w:sz w:val="26"/>
        </w:rPr>
        <w:t>probably th</w:t>
      </w:r>
      <w:r w:rsidR="00594231">
        <w:rPr>
          <w:sz w:val="26"/>
        </w:rPr>
        <w:t xml:space="preserve">e most difficult </w:t>
      </w:r>
      <w:r w:rsidR="00926C70">
        <w:rPr>
          <w:sz w:val="26"/>
        </w:rPr>
        <w:t>j</w:t>
      </w:r>
      <w:r w:rsidR="00594231">
        <w:rPr>
          <w:sz w:val="26"/>
        </w:rPr>
        <w:t>udicial responsibility</w:t>
      </w:r>
      <w:r w:rsidR="00681AC8">
        <w:rPr>
          <w:sz w:val="26"/>
        </w:rPr>
        <w:t xml:space="preserve">. </w:t>
      </w:r>
      <w:r w:rsidR="0000359E" w:rsidRPr="001418B7">
        <w:rPr>
          <w:sz w:val="26"/>
        </w:rPr>
        <w:t>The imposition of a fit sentence is particula</w:t>
      </w:r>
      <w:r w:rsidR="00F560F0" w:rsidRPr="001418B7">
        <w:rPr>
          <w:sz w:val="26"/>
        </w:rPr>
        <w:t>rly difficult here</w:t>
      </w:r>
      <w:r w:rsidR="0000359E" w:rsidRPr="001418B7">
        <w:rPr>
          <w:sz w:val="26"/>
        </w:rPr>
        <w:t xml:space="preserve"> </w:t>
      </w:r>
      <w:r w:rsidR="002F5FA6" w:rsidRPr="001418B7">
        <w:rPr>
          <w:sz w:val="26"/>
        </w:rPr>
        <w:t>be</w:t>
      </w:r>
      <w:r w:rsidR="005D13FC" w:rsidRPr="001418B7">
        <w:rPr>
          <w:sz w:val="26"/>
        </w:rPr>
        <w:t>cause Mr. Livingston is an otherwise decent</w:t>
      </w:r>
      <w:r w:rsidR="00493389" w:rsidRPr="001418B7">
        <w:rPr>
          <w:sz w:val="26"/>
        </w:rPr>
        <w:t>, contributing</w:t>
      </w:r>
      <w:r w:rsidR="005D13FC" w:rsidRPr="001418B7">
        <w:rPr>
          <w:sz w:val="26"/>
        </w:rPr>
        <w:t xml:space="preserve"> and law-abiding person who has committed </w:t>
      </w:r>
      <w:r w:rsidR="00E26B7C" w:rsidRPr="001418B7">
        <w:rPr>
          <w:sz w:val="26"/>
        </w:rPr>
        <w:t>a serious offence</w:t>
      </w:r>
      <w:r w:rsidR="00E8097D" w:rsidRPr="001418B7">
        <w:rPr>
          <w:sz w:val="26"/>
        </w:rPr>
        <w:t>.</w:t>
      </w:r>
    </w:p>
    <w:p w:rsidR="00BF3433" w:rsidRPr="001418B7" w:rsidRDefault="00BF3433" w:rsidP="00BF3433">
      <w:pPr>
        <w:pStyle w:val="MAINPARAGRAPH"/>
        <w:rPr>
          <w:b/>
          <w:sz w:val="26"/>
          <w:lang w:val="en-CA"/>
        </w:rPr>
      </w:pPr>
      <w:r w:rsidRPr="001418B7">
        <w:rPr>
          <w:sz w:val="26"/>
          <w:lang w:val="en-CA"/>
        </w:rPr>
        <w:t>S</w:t>
      </w:r>
      <w:r w:rsidR="00E8097D" w:rsidRPr="001418B7">
        <w:rPr>
          <w:sz w:val="26"/>
          <w:lang w:val="en-CA"/>
        </w:rPr>
        <w:t xml:space="preserve">ection 718 of the </w:t>
      </w:r>
      <w:r w:rsidR="00E8097D" w:rsidRPr="001418B7">
        <w:rPr>
          <w:i/>
          <w:sz w:val="26"/>
          <w:lang w:val="en-CA"/>
        </w:rPr>
        <w:t>Criminal Code</w:t>
      </w:r>
      <w:r w:rsidR="00E8097D" w:rsidRPr="001418B7">
        <w:rPr>
          <w:sz w:val="26"/>
          <w:lang w:val="en-CA"/>
        </w:rPr>
        <w:t xml:space="preserve"> </w:t>
      </w:r>
      <w:r w:rsidRPr="001418B7">
        <w:rPr>
          <w:sz w:val="26"/>
          <w:lang w:val="en-CA"/>
        </w:rPr>
        <w:t>describes the fundamental purpose of sente</w:t>
      </w:r>
      <w:r w:rsidR="00E90CBF">
        <w:rPr>
          <w:sz w:val="26"/>
          <w:lang w:val="en-CA"/>
        </w:rPr>
        <w:t>ncing</w:t>
      </w:r>
      <w:r w:rsidRPr="001418B7">
        <w:rPr>
          <w:sz w:val="26"/>
          <w:lang w:val="en-CA"/>
        </w:rPr>
        <w:t xml:space="preserve">. That purpose is to contribute, along with crime prevention initiatives, to </w:t>
      </w:r>
      <w:r w:rsidR="008043DF" w:rsidRPr="001418B7">
        <w:rPr>
          <w:sz w:val="26"/>
          <w:lang w:val="en-CA"/>
        </w:rPr>
        <w:t xml:space="preserve">respect </w:t>
      </w:r>
      <w:r w:rsidR="008043DF">
        <w:rPr>
          <w:sz w:val="26"/>
          <w:lang w:val="en-CA"/>
        </w:rPr>
        <w:t>for</w:t>
      </w:r>
      <w:r w:rsidR="00651773">
        <w:rPr>
          <w:sz w:val="26"/>
          <w:lang w:val="en-CA"/>
        </w:rPr>
        <w:t xml:space="preserve"> </w:t>
      </w:r>
      <w:r w:rsidRPr="001418B7">
        <w:rPr>
          <w:sz w:val="26"/>
          <w:lang w:val="en-CA"/>
        </w:rPr>
        <w:t>the law and the maintenance of a just, peaceful and safe society by imposing just sanctions on offenders.</w:t>
      </w:r>
    </w:p>
    <w:p w:rsidR="00BF3433" w:rsidRPr="001418B7" w:rsidRDefault="00BF3433" w:rsidP="00BF3433">
      <w:pPr>
        <w:pStyle w:val="MAINPARAGRAPH"/>
        <w:rPr>
          <w:b/>
          <w:sz w:val="26"/>
          <w:lang w:val="en-CA"/>
        </w:rPr>
      </w:pPr>
      <w:r w:rsidRPr="001418B7">
        <w:rPr>
          <w:sz w:val="26"/>
          <w:lang w:val="en"/>
        </w:rPr>
        <w:t>Any sentence imposed by a court must promote one or more of the objectives identified in s. 718:</w:t>
      </w:r>
    </w:p>
    <w:p w:rsidR="00BF3433" w:rsidRPr="001418B7" w:rsidRDefault="00BF3433" w:rsidP="002337C0">
      <w:pPr>
        <w:pStyle w:val="MAINPARAGRAPH"/>
        <w:numPr>
          <w:ilvl w:val="0"/>
          <w:numId w:val="0"/>
        </w:numPr>
        <w:ind w:firstLine="720"/>
        <w:rPr>
          <w:sz w:val="26"/>
          <w:lang w:val="en"/>
        </w:rPr>
      </w:pPr>
      <w:r w:rsidRPr="001418B7">
        <w:rPr>
          <w:sz w:val="26"/>
          <w:lang w:val="en"/>
        </w:rPr>
        <w:t xml:space="preserve">- </w:t>
      </w:r>
      <w:proofErr w:type="gramStart"/>
      <w:r w:rsidRPr="001418B7">
        <w:rPr>
          <w:sz w:val="26"/>
          <w:lang w:val="en"/>
        </w:rPr>
        <w:t>to</w:t>
      </w:r>
      <w:proofErr w:type="gramEnd"/>
      <w:r w:rsidRPr="001418B7">
        <w:rPr>
          <w:sz w:val="26"/>
          <w:lang w:val="en"/>
        </w:rPr>
        <w:t xml:space="preserve"> denounce unlawful conduct</w:t>
      </w:r>
      <w:r w:rsidR="00E90CBF">
        <w:rPr>
          <w:sz w:val="26"/>
          <w:lang w:val="en"/>
        </w:rPr>
        <w:t>;</w:t>
      </w:r>
    </w:p>
    <w:p w:rsidR="00BF3433" w:rsidRPr="001418B7" w:rsidRDefault="00BF3433" w:rsidP="002337C0">
      <w:pPr>
        <w:pStyle w:val="MAINPARAGRAPH"/>
        <w:numPr>
          <w:ilvl w:val="0"/>
          <w:numId w:val="0"/>
        </w:numPr>
        <w:ind w:firstLine="720"/>
        <w:rPr>
          <w:sz w:val="26"/>
          <w:lang w:val="en"/>
        </w:rPr>
      </w:pPr>
      <w:r w:rsidRPr="001418B7">
        <w:rPr>
          <w:sz w:val="26"/>
          <w:lang w:val="en"/>
        </w:rPr>
        <w:t>-to deter the offender and other persons from committing offences</w:t>
      </w:r>
      <w:r w:rsidR="00E90CBF">
        <w:rPr>
          <w:sz w:val="26"/>
          <w:lang w:val="en"/>
        </w:rPr>
        <w:t>;</w:t>
      </w:r>
    </w:p>
    <w:p w:rsidR="00BF3433" w:rsidRPr="001418B7" w:rsidRDefault="00BF3433" w:rsidP="002337C0">
      <w:pPr>
        <w:pStyle w:val="MAINPARAGRAPH"/>
        <w:numPr>
          <w:ilvl w:val="0"/>
          <w:numId w:val="0"/>
        </w:numPr>
        <w:ind w:firstLine="720"/>
        <w:rPr>
          <w:sz w:val="26"/>
          <w:lang w:val="en"/>
        </w:rPr>
      </w:pPr>
      <w:r w:rsidRPr="001418B7">
        <w:rPr>
          <w:sz w:val="26"/>
          <w:lang w:val="en"/>
        </w:rPr>
        <w:lastRenderedPageBreak/>
        <w:t xml:space="preserve">- </w:t>
      </w:r>
      <w:proofErr w:type="gramStart"/>
      <w:r w:rsidRPr="001418B7">
        <w:rPr>
          <w:sz w:val="26"/>
          <w:lang w:val="en"/>
        </w:rPr>
        <w:t>to</w:t>
      </w:r>
      <w:proofErr w:type="gramEnd"/>
      <w:r w:rsidRPr="001418B7">
        <w:rPr>
          <w:sz w:val="26"/>
          <w:lang w:val="en"/>
        </w:rPr>
        <w:t xml:space="preserve"> separate offenders from society, where necessary;</w:t>
      </w:r>
    </w:p>
    <w:p w:rsidR="00BF3433" w:rsidRPr="001418B7" w:rsidRDefault="00BF3433" w:rsidP="002337C0">
      <w:pPr>
        <w:pStyle w:val="MAINPARAGRAPH"/>
        <w:numPr>
          <w:ilvl w:val="0"/>
          <w:numId w:val="0"/>
        </w:numPr>
        <w:ind w:firstLine="720"/>
        <w:rPr>
          <w:sz w:val="26"/>
          <w:lang w:val="en"/>
        </w:rPr>
      </w:pPr>
      <w:r w:rsidRPr="001418B7">
        <w:rPr>
          <w:sz w:val="26"/>
          <w:lang w:val="en"/>
        </w:rPr>
        <w:t xml:space="preserve">- </w:t>
      </w:r>
      <w:proofErr w:type="gramStart"/>
      <w:r w:rsidRPr="001418B7">
        <w:rPr>
          <w:sz w:val="26"/>
          <w:lang w:val="en"/>
        </w:rPr>
        <w:t>to</w:t>
      </w:r>
      <w:proofErr w:type="gramEnd"/>
      <w:r w:rsidRPr="001418B7">
        <w:rPr>
          <w:sz w:val="26"/>
          <w:lang w:val="en"/>
        </w:rPr>
        <w:t xml:space="preserve"> assist in rehabilitating offenders;</w:t>
      </w:r>
    </w:p>
    <w:p w:rsidR="00BF3433" w:rsidRPr="001418B7" w:rsidRDefault="00BF3433" w:rsidP="002337C0">
      <w:pPr>
        <w:pStyle w:val="MAINPARAGRAPH"/>
        <w:numPr>
          <w:ilvl w:val="0"/>
          <w:numId w:val="0"/>
        </w:numPr>
        <w:ind w:firstLine="720"/>
        <w:rPr>
          <w:sz w:val="26"/>
          <w:lang w:val="en"/>
        </w:rPr>
      </w:pPr>
      <w:r w:rsidRPr="001418B7">
        <w:rPr>
          <w:sz w:val="26"/>
          <w:lang w:val="en"/>
        </w:rPr>
        <w:t>-to provide reparations for harm done to victims or to the community; and</w:t>
      </w:r>
    </w:p>
    <w:p w:rsidR="00BF3433" w:rsidRPr="001418B7" w:rsidRDefault="002337C0" w:rsidP="002337C0">
      <w:pPr>
        <w:pStyle w:val="MAINPARAGRAPH"/>
        <w:numPr>
          <w:ilvl w:val="0"/>
          <w:numId w:val="0"/>
        </w:numPr>
        <w:ind w:left="720"/>
        <w:rPr>
          <w:sz w:val="26"/>
          <w:lang w:val="en"/>
        </w:rPr>
      </w:pPr>
      <w:r w:rsidRPr="001418B7">
        <w:rPr>
          <w:sz w:val="26"/>
          <w:lang w:val="en"/>
        </w:rPr>
        <w:t>-</w:t>
      </w:r>
      <w:r w:rsidR="00BF3433" w:rsidRPr="001418B7">
        <w:rPr>
          <w:sz w:val="26"/>
          <w:lang w:val="en"/>
        </w:rPr>
        <w:t xml:space="preserve"> </w:t>
      </w:r>
      <w:proofErr w:type="gramStart"/>
      <w:r w:rsidR="00BF3433" w:rsidRPr="001418B7">
        <w:rPr>
          <w:sz w:val="26"/>
          <w:lang w:val="en"/>
        </w:rPr>
        <w:t>to</w:t>
      </w:r>
      <w:proofErr w:type="gramEnd"/>
      <w:r w:rsidR="00BF3433" w:rsidRPr="001418B7">
        <w:rPr>
          <w:sz w:val="26"/>
          <w:lang w:val="en"/>
        </w:rPr>
        <w:t xml:space="preserve"> promote a sense</w:t>
      </w:r>
      <w:r w:rsidR="00E90CBF">
        <w:rPr>
          <w:sz w:val="26"/>
          <w:lang w:val="en"/>
        </w:rPr>
        <w:t xml:space="preserve"> of responsibility in offenders</w:t>
      </w:r>
      <w:r w:rsidR="00BF3433" w:rsidRPr="001418B7">
        <w:rPr>
          <w:sz w:val="26"/>
          <w:lang w:val="en"/>
        </w:rPr>
        <w:t xml:space="preserve"> and acknowledgement of the harm done to victims and to the community.</w:t>
      </w:r>
    </w:p>
    <w:p w:rsidR="00BF3433" w:rsidRPr="001418B7" w:rsidRDefault="00BF3433" w:rsidP="00BF3433">
      <w:pPr>
        <w:pStyle w:val="MAINPARAGRAPH"/>
        <w:rPr>
          <w:b/>
          <w:sz w:val="26"/>
          <w:lang w:val="en-CA"/>
        </w:rPr>
      </w:pPr>
      <w:r w:rsidRPr="001418B7">
        <w:rPr>
          <w:sz w:val="26"/>
          <w:lang w:val="en"/>
        </w:rPr>
        <w:t>The fundamental principle of</w:t>
      </w:r>
      <w:r w:rsidR="0065101E" w:rsidRPr="001418B7">
        <w:rPr>
          <w:sz w:val="26"/>
          <w:lang w:val="en"/>
        </w:rPr>
        <w:t xml:space="preserve"> sentencing</w:t>
      </w:r>
      <w:r w:rsidRPr="001418B7">
        <w:rPr>
          <w:sz w:val="26"/>
          <w:lang w:val="en"/>
        </w:rPr>
        <w:t xml:space="preserve"> is the proportionality requirement found in s. 718.1: a sentence must be proportionate to the gravity of the offence and the degree of responsibility of the offender. This is achieved by examining the aggravating and mitigating factors and the circumstances relevant to the offence and the offender</w:t>
      </w:r>
      <w:r w:rsidR="00DC26DE" w:rsidRPr="001418B7">
        <w:rPr>
          <w:sz w:val="26"/>
          <w:lang w:val="en"/>
        </w:rPr>
        <w:t>,</w:t>
      </w:r>
      <w:r w:rsidRPr="001418B7">
        <w:rPr>
          <w:sz w:val="26"/>
          <w:lang w:val="en"/>
        </w:rPr>
        <w:t xml:space="preserve"> bearing in mind the established principles of sentencing. The sentencing objectives are met by selecting and identifying sentencing</w:t>
      </w:r>
      <w:r w:rsidR="00794C69" w:rsidRPr="001418B7">
        <w:rPr>
          <w:sz w:val="26"/>
          <w:lang w:val="en"/>
        </w:rPr>
        <w:t xml:space="preserve"> goals. Keeping in mind the requirement to exercise</w:t>
      </w:r>
      <w:r w:rsidRPr="001418B7">
        <w:rPr>
          <w:sz w:val="26"/>
          <w:lang w:val="en"/>
        </w:rPr>
        <w:t xml:space="preserve"> restraint</w:t>
      </w:r>
      <w:r w:rsidR="00794C69" w:rsidRPr="001418B7">
        <w:rPr>
          <w:sz w:val="26"/>
          <w:lang w:val="en"/>
        </w:rPr>
        <w:t xml:space="preserve"> in the case of a f</w:t>
      </w:r>
      <w:r w:rsidR="00651773">
        <w:rPr>
          <w:sz w:val="26"/>
          <w:lang w:val="en"/>
        </w:rPr>
        <w:t>irst offender</w:t>
      </w:r>
      <w:r w:rsidR="00D436A6">
        <w:rPr>
          <w:sz w:val="26"/>
          <w:lang w:val="en"/>
        </w:rPr>
        <w:t>,</w:t>
      </w:r>
      <w:r w:rsidR="00651773">
        <w:rPr>
          <w:sz w:val="26"/>
          <w:lang w:val="en"/>
        </w:rPr>
        <w:t xml:space="preserve"> such as this</w:t>
      </w:r>
      <w:r w:rsidR="00794C69" w:rsidRPr="001418B7">
        <w:rPr>
          <w:sz w:val="26"/>
          <w:lang w:val="en"/>
        </w:rPr>
        <w:t xml:space="preserve"> defendant</w:t>
      </w:r>
      <w:r w:rsidRPr="001418B7">
        <w:rPr>
          <w:sz w:val="26"/>
          <w:lang w:val="en"/>
        </w:rPr>
        <w:t>, a sentence must be fit in achieving those objectives and must be similar to sentences imposed in similar cases.</w:t>
      </w:r>
    </w:p>
    <w:p w:rsidR="00BF3433" w:rsidRPr="007E6AC9" w:rsidRDefault="00917287" w:rsidP="004E01AF">
      <w:pPr>
        <w:pStyle w:val="MAINPARAGRAPH"/>
        <w:numPr>
          <w:ilvl w:val="0"/>
          <w:numId w:val="0"/>
        </w:numPr>
        <w:rPr>
          <w:b/>
          <w:sz w:val="26"/>
          <w:lang w:val="en-CA"/>
        </w:rPr>
      </w:pPr>
      <w:r w:rsidRPr="007E6AC9">
        <w:rPr>
          <w:b/>
          <w:sz w:val="26"/>
          <w:lang w:val="en-CA"/>
        </w:rPr>
        <w:t>Aggravating factors</w:t>
      </w:r>
    </w:p>
    <w:p w:rsidR="00BB5EFD" w:rsidRPr="001418B7" w:rsidRDefault="00917287" w:rsidP="00BB5EFD">
      <w:pPr>
        <w:pStyle w:val="MAINPARAGRAPH"/>
        <w:rPr>
          <w:b/>
          <w:sz w:val="26"/>
          <w:lang w:val="en-CA"/>
        </w:rPr>
      </w:pPr>
      <w:r w:rsidRPr="001418B7">
        <w:rPr>
          <w:sz w:val="26"/>
          <w:lang w:val="en-CA"/>
        </w:rPr>
        <w:t xml:space="preserve">Aggravating factors </w:t>
      </w:r>
      <w:r w:rsidR="006F456D" w:rsidRPr="001418B7">
        <w:rPr>
          <w:sz w:val="26"/>
          <w:lang w:val="en-CA"/>
        </w:rPr>
        <w:t>must be proven by the Crown beyond a reasonable doubt.</w:t>
      </w:r>
      <w:r w:rsidR="00DC26DE" w:rsidRPr="001418B7">
        <w:rPr>
          <w:sz w:val="26"/>
          <w:lang w:val="en-CA"/>
        </w:rPr>
        <w:t xml:space="preserve"> In this case, they include the following:</w:t>
      </w:r>
    </w:p>
    <w:p w:rsidR="00EA741C" w:rsidRPr="001418B7" w:rsidRDefault="00EA741C" w:rsidP="00EA741C">
      <w:pPr>
        <w:pStyle w:val="MAINPARAGRAPH"/>
        <w:numPr>
          <w:ilvl w:val="0"/>
          <w:numId w:val="0"/>
        </w:numPr>
        <w:rPr>
          <w:b/>
          <w:sz w:val="26"/>
          <w:lang w:val="en-CA"/>
        </w:rPr>
      </w:pPr>
      <w:r w:rsidRPr="001418B7">
        <w:rPr>
          <w:b/>
          <w:sz w:val="26"/>
          <w:lang w:val="en-CA"/>
        </w:rPr>
        <w:t>1.  Mr. Livingston attempted to interfere with</w:t>
      </w:r>
      <w:r w:rsidR="00636A5F">
        <w:rPr>
          <w:b/>
          <w:sz w:val="26"/>
          <w:lang w:val="en-CA"/>
        </w:rPr>
        <w:t xml:space="preserve"> parliamentary democracy and</w:t>
      </w:r>
      <w:r w:rsidRPr="001418B7">
        <w:rPr>
          <w:b/>
          <w:sz w:val="26"/>
          <w:lang w:val="en-CA"/>
        </w:rPr>
        <w:t xml:space="preserve"> the public’s access to informa</w:t>
      </w:r>
      <w:r w:rsidR="00636A5F">
        <w:rPr>
          <w:b/>
          <w:sz w:val="26"/>
          <w:lang w:val="en-CA"/>
        </w:rPr>
        <w:t>tion</w:t>
      </w:r>
    </w:p>
    <w:p w:rsidR="00EA741C" w:rsidRPr="001418B7" w:rsidRDefault="00EA741C" w:rsidP="00EA741C">
      <w:pPr>
        <w:pStyle w:val="MAINPARAGRAPH"/>
        <w:rPr>
          <w:b/>
          <w:sz w:val="26"/>
          <w:lang w:val="en-CA"/>
        </w:rPr>
      </w:pPr>
      <w:r w:rsidRPr="001418B7">
        <w:rPr>
          <w:sz w:val="26"/>
          <w:lang w:val="en-CA"/>
        </w:rPr>
        <w:t>Mr. Livingston’s attempt to interfere with the</w:t>
      </w:r>
      <w:r w:rsidR="00DC26DE" w:rsidRPr="001418B7">
        <w:rPr>
          <w:sz w:val="26"/>
          <w:lang w:val="en-CA"/>
        </w:rPr>
        <w:t xml:space="preserve"> proper</w:t>
      </w:r>
      <w:r w:rsidRPr="001418B7">
        <w:rPr>
          <w:sz w:val="26"/>
          <w:lang w:val="en-CA"/>
        </w:rPr>
        <w:t xml:space="preserve"> functioning of parliamentary democracy is, in my view, the most ser</w:t>
      </w:r>
      <w:r w:rsidR="0018344A">
        <w:rPr>
          <w:sz w:val="26"/>
          <w:lang w:val="en-CA"/>
        </w:rPr>
        <w:t xml:space="preserve">ious aggravating factor </w:t>
      </w:r>
      <w:r w:rsidRPr="001418B7">
        <w:rPr>
          <w:sz w:val="26"/>
          <w:lang w:val="en-CA"/>
        </w:rPr>
        <w:t>in this case. I agree with the f</w:t>
      </w:r>
      <w:r w:rsidR="009503FE" w:rsidRPr="001418B7">
        <w:rPr>
          <w:sz w:val="26"/>
          <w:lang w:val="en-CA"/>
        </w:rPr>
        <w:t>ollowing observations made in the Crown’s</w:t>
      </w:r>
      <w:r w:rsidR="00B818A6">
        <w:rPr>
          <w:sz w:val="26"/>
          <w:lang w:val="en-CA"/>
        </w:rPr>
        <w:t xml:space="preserve"> written submissions: “</w:t>
      </w:r>
      <w:r w:rsidRPr="001418B7">
        <w:rPr>
          <w:sz w:val="26"/>
          <w:lang w:val="en-CA"/>
        </w:rPr>
        <w:t>In directing the wiping of the hard drives, Livingston’s aim was to deprive the public of access to information it was entitled to have through legislation (</w:t>
      </w:r>
      <w:r w:rsidRPr="001418B7">
        <w:rPr>
          <w:i/>
          <w:sz w:val="26"/>
          <w:lang w:val="en-CA"/>
        </w:rPr>
        <w:t>Freedom of Information and Protection of Privacy Act</w:t>
      </w:r>
      <w:r w:rsidRPr="001418B7">
        <w:rPr>
          <w:sz w:val="26"/>
          <w:lang w:val="en-CA"/>
        </w:rPr>
        <w:t>) and through the legislative committee process. Accountability is fundamental to the functioning of the democratic process. Further, depriving a legislative committee of information it is entitled to, directly interferes with the parliamentary process.”</w:t>
      </w:r>
    </w:p>
    <w:p w:rsidR="00EA741C" w:rsidRPr="001418B7" w:rsidRDefault="00EA741C" w:rsidP="00EA741C">
      <w:pPr>
        <w:pStyle w:val="MAINPARAGRAPH"/>
        <w:rPr>
          <w:b/>
          <w:sz w:val="26"/>
          <w:lang w:val="en-CA"/>
        </w:rPr>
      </w:pPr>
      <w:r w:rsidRPr="001418B7">
        <w:rPr>
          <w:sz w:val="26"/>
          <w:lang w:val="en-CA"/>
        </w:rPr>
        <w:t>As the evidence established, Mr. Livingston had been expressly cautioned about the government’s obligations</w:t>
      </w:r>
      <w:r w:rsidR="00D436A6">
        <w:rPr>
          <w:sz w:val="26"/>
          <w:lang w:val="en-CA"/>
        </w:rPr>
        <w:t xml:space="preserve"> to produce information to the L</w:t>
      </w:r>
      <w:r w:rsidRPr="001418B7">
        <w:rPr>
          <w:sz w:val="26"/>
          <w:lang w:val="en-CA"/>
        </w:rPr>
        <w:t>egislature through its standing committees</w:t>
      </w:r>
      <w:r w:rsidR="00625FBC">
        <w:rPr>
          <w:sz w:val="26"/>
          <w:lang w:val="en-CA"/>
        </w:rPr>
        <w:t>,</w:t>
      </w:r>
      <w:r w:rsidRPr="001418B7">
        <w:rPr>
          <w:sz w:val="26"/>
          <w:lang w:val="en-CA"/>
        </w:rPr>
        <w:t xml:space="preserve"> which he chose to defy. </w:t>
      </w:r>
    </w:p>
    <w:p w:rsidR="00EA741C" w:rsidRPr="001418B7" w:rsidRDefault="00EA741C" w:rsidP="00EA741C">
      <w:pPr>
        <w:pStyle w:val="MAINPARAGRAPH"/>
        <w:rPr>
          <w:b/>
          <w:sz w:val="26"/>
          <w:lang w:val="en-CA"/>
        </w:rPr>
      </w:pPr>
      <w:r w:rsidRPr="001418B7">
        <w:rPr>
          <w:sz w:val="26"/>
          <w:lang w:val="en-CA"/>
        </w:rPr>
        <w:t xml:space="preserve">The defendant’s attempt to interfere with the public’s right to access information was nothing less than an attempt to interfere with the democratic process. </w:t>
      </w:r>
    </w:p>
    <w:p w:rsidR="006F456D" w:rsidRPr="001418B7" w:rsidRDefault="00EA741C" w:rsidP="00BB5EFD">
      <w:pPr>
        <w:pStyle w:val="MAINPARAGRAPH"/>
        <w:numPr>
          <w:ilvl w:val="0"/>
          <w:numId w:val="0"/>
        </w:numPr>
        <w:rPr>
          <w:b/>
          <w:sz w:val="26"/>
          <w:lang w:val="en-CA"/>
        </w:rPr>
      </w:pPr>
      <w:r w:rsidRPr="001418B7">
        <w:rPr>
          <w:b/>
          <w:sz w:val="26"/>
          <w:lang w:val="en-CA"/>
        </w:rPr>
        <w:t>2</w:t>
      </w:r>
      <w:r w:rsidR="00BB5EFD" w:rsidRPr="001418B7">
        <w:rPr>
          <w:b/>
          <w:sz w:val="26"/>
          <w:lang w:val="en-CA"/>
        </w:rPr>
        <w:t>.</w:t>
      </w:r>
      <w:r w:rsidR="00163853" w:rsidRPr="001418B7">
        <w:rPr>
          <w:b/>
          <w:sz w:val="26"/>
          <w:lang w:val="en-CA"/>
        </w:rPr>
        <w:t xml:space="preserve"> </w:t>
      </w:r>
      <w:r w:rsidR="00F11825">
        <w:rPr>
          <w:b/>
          <w:sz w:val="26"/>
          <w:lang w:val="en-CA"/>
        </w:rPr>
        <w:t>Mr. Livingston</w:t>
      </w:r>
      <w:r w:rsidR="006F456D" w:rsidRPr="001418B7">
        <w:rPr>
          <w:b/>
          <w:sz w:val="26"/>
          <w:lang w:val="en-CA"/>
        </w:rPr>
        <w:t xml:space="preserve"> abused a position of </w:t>
      </w:r>
      <w:r w:rsidR="00BD1FA8" w:rsidRPr="001418B7">
        <w:rPr>
          <w:b/>
          <w:sz w:val="26"/>
          <w:lang w:val="en-CA"/>
        </w:rPr>
        <w:t xml:space="preserve">trust and </w:t>
      </w:r>
      <w:r w:rsidR="006F456D" w:rsidRPr="001418B7">
        <w:rPr>
          <w:b/>
          <w:sz w:val="26"/>
          <w:lang w:val="en-CA"/>
        </w:rPr>
        <w:t>authority</w:t>
      </w:r>
    </w:p>
    <w:p w:rsidR="001E6446" w:rsidRPr="001418B7" w:rsidRDefault="001873C3" w:rsidP="00BB5EFD">
      <w:pPr>
        <w:pStyle w:val="MAINPARAGRAPH"/>
        <w:rPr>
          <w:b/>
          <w:sz w:val="26"/>
          <w:lang w:val="en-CA"/>
        </w:rPr>
      </w:pPr>
      <w:r w:rsidRPr="001418B7">
        <w:rPr>
          <w:sz w:val="26"/>
          <w:lang w:val="en-CA"/>
        </w:rPr>
        <w:lastRenderedPageBreak/>
        <w:t xml:space="preserve">Where an offender abuses a position of trust or authority to commit an offence, it is an aggravating factor </w:t>
      </w:r>
      <w:r w:rsidR="00F11825">
        <w:rPr>
          <w:sz w:val="26"/>
          <w:lang w:val="en-CA"/>
        </w:rPr>
        <w:t>by virtue of s. 718.2</w:t>
      </w:r>
      <w:r w:rsidR="00725224" w:rsidRPr="001418B7">
        <w:rPr>
          <w:sz w:val="26"/>
          <w:lang w:val="en-CA"/>
        </w:rPr>
        <w:t xml:space="preserve">. The abuse of </w:t>
      </w:r>
      <w:r w:rsidR="001E6446" w:rsidRPr="001418B7">
        <w:rPr>
          <w:sz w:val="26"/>
          <w:lang w:val="en-CA"/>
        </w:rPr>
        <w:t>“</w:t>
      </w:r>
      <w:r w:rsidR="00725224" w:rsidRPr="001418B7">
        <w:rPr>
          <w:sz w:val="26"/>
          <w:lang w:val="en-CA"/>
        </w:rPr>
        <w:t xml:space="preserve">a position of trust or authority </w:t>
      </w:r>
      <w:r w:rsidR="001E6446" w:rsidRPr="001418B7">
        <w:rPr>
          <w:sz w:val="26"/>
          <w:lang w:val="en-CA"/>
        </w:rPr>
        <w:t>in relation to the victim” must be in “committing the offence”.</w:t>
      </w:r>
      <w:r w:rsidR="00F12FE0" w:rsidRPr="001418B7">
        <w:rPr>
          <w:sz w:val="26"/>
          <w:lang w:val="en-CA"/>
        </w:rPr>
        <w:t xml:space="preserve"> The Crown alleges that in committing the offence, Mr. Livingston abused his “public office” and “the public trust”.</w:t>
      </w:r>
    </w:p>
    <w:p w:rsidR="00F31B15" w:rsidRPr="001418B7" w:rsidRDefault="00C8270F" w:rsidP="00BB5EFD">
      <w:pPr>
        <w:pStyle w:val="MAINPARAGRAPH"/>
        <w:rPr>
          <w:b/>
          <w:sz w:val="26"/>
          <w:lang w:val="en-CA"/>
        </w:rPr>
      </w:pPr>
      <w:r w:rsidRPr="001418B7">
        <w:rPr>
          <w:sz w:val="26"/>
          <w:lang w:val="en-CA"/>
        </w:rPr>
        <w:t xml:space="preserve">In my view, </w:t>
      </w:r>
      <w:r w:rsidR="000F3757">
        <w:rPr>
          <w:sz w:val="26"/>
          <w:lang w:val="en-CA"/>
        </w:rPr>
        <w:t>t</w:t>
      </w:r>
      <w:r w:rsidR="004B5290" w:rsidRPr="001418B7">
        <w:rPr>
          <w:sz w:val="26"/>
          <w:lang w:val="en-CA"/>
        </w:rPr>
        <w:t>he evidence does not establish beyond a reasonable doubt</w:t>
      </w:r>
      <w:r w:rsidR="001E6446" w:rsidRPr="001418B7">
        <w:rPr>
          <w:sz w:val="26"/>
          <w:lang w:val="en-CA"/>
        </w:rPr>
        <w:t xml:space="preserve"> </w:t>
      </w:r>
      <w:r w:rsidR="004B5290" w:rsidRPr="001418B7">
        <w:rPr>
          <w:sz w:val="26"/>
          <w:lang w:val="en-CA"/>
        </w:rPr>
        <w:t>that the position of Chief of St</w:t>
      </w:r>
      <w:r w:rsidR="00F11825">
        <w:rPr>
          <w:sz w:val="26"/>
          <w:lang w:val="en-CA"/>
        </w:rPr>
        <w:t>aff</w:t>
      </w:r>
      <w:r w:rsidR="00F35861" w:rsidRPr="001418B7">
        <w:rPr>
          <w:sz w:val="26"/>
          <w:lang w:val="en-CA"/>
        </w:rPr>
        <w:t xml:space="preserve"> is </w:t>
      </w:r>
      <w:r w:rsidR="00F35861" w:rsidRPr="001418B7">
        <w:rPr>
          <w:i/>
          <w:sz w:val="26"/>
          <w:lang w:val="en-CA"/>
        </w:rPr>
        <w:t>per se</w:t>
      </w:r>
      <w:r w:rsidR="00F35861" w:rsidRPr="001418B7">
        <w:rPr>
          <w:sz w:val="26"/>
          <w:lang w:val="en-CA"/>
        </w:rPr>
        <w:t xml:space="preserve"> a “public office” or a “position of public trust”</w:t>
      </w:r>
      <w:r w:rsidR="004C0118" w:rsidRPr="001418B7">
        <w:rPr>
          <w:sz w:val="26"/>
          <w:lang w:val="en-CA"/>
        </w:rPr>
        <w:t>.</w:t>
      </w:r>
      <w:r w:rsidR="00485A40" w:rsidRPr="001418B7">
        <w:rPr>
          <w:sz w:val="26"/>
          <w:lang w:val="en-CA"/>
        </w:rPr>
        <w:t xml:space="preserve"> Secretary</w:t>
      </w:r>
      <w:r w:rsidR="005F49E4" w:rsidRPr="001418B7">
        <w:rPr>
          <w:sz w:val="26"/>
          <w:lang w:val="en-CA"/>
        </w:rPr>
        <w:t xml:space="preserve"> of Cabinet</w:t>
      </w:r>
      <w:r w:rsidR="00485A40" w:rsidRPr="001418B7">
        <w:rPr>
          <w:sz w:val="26"/>
          <w:lang w:val="en-CA"/>
        </w:rPr>
        <w:t xml:space="preserve"> Wallace testified tha</w:t>
      </w:r>
      <w:r w:rsidR="00891250" w:rsidRPr="001418B7">
        <w:rPr>
          <w:sz w:val="26"/>
          <w:lang w:val="en-CA"/>
        </w:rPr>
        <w:t>t members of the OPO are not public servants</w:t>
      </w:r>
      <w:r w:rsidR="00BB7639" w:rsidRPr="001418B7">
        <w:rPr>
          <w:sz w:val="26"/>
          <w:lang w:val="en-CA"/>
        </w:rPr>
        <w:t>. In the parlance of government, they are classified as “exempt staff”. Mr. Wallace explained that the role of the OPO was to “undertake</w:t>
      </w:r>
      <w:r w:rsidR="00D3358F" w:rsidRPr="001418B7">
        <w:rPr>
          <w:sz w:val="26"/>
          <w:lang w:val="en-CA"/>
        </w:rPr>
        <w:t xml:space="preserve"> the political work of the Premier”. </w:t>
      </w:r>
      <w:r w:rsidR="005F49E4" w:rsidRPr="001418B7">
        <w:rPr>
          <w:sz w:val="26"/>
          <w:lang w:val="en-CA"/>
        </w:rPr>
        <w:t xml:space="preserve">While </w:t>
      </w:r>
      <w:r w:rsidR="00D3358F" w:rsidRPr="001418B7">
        <w:rPr>
          <w:sz w:val="26"/>
          <w:lang w:val="en-CA"/>
        </w:rPr>
        <w:t>Mr. Livingston’s salary was paid by the government of Ontario through Cabinet Office</w:t>
      </w:r>
      <w:r w:rsidR="00DC16BE" w:rsidRPr="001418B7">
        <w:rPr>
          <w:sz w:val="26"/>
          <w:lang w:val="en-CA"/>
        </w:rPr>
        <w:t xml:space="preserve">, </w:t>
      </w:r>
      <w:r w:rsidR="00870579" w:rsidRPr="001418B7">
        <w:rPr>
          <w:sz w:val="26"/>
          <w:lang w:val="en-CA"/>
        </w:rPr>
        <w:t xml:space="preserve">he and his staff were not under the control </w:t>
      </w:r>
      <w:r w:rsidR="00DC16BE" w:rsidRPr="001418B7">
        <w:rPr>
          <w:sz w:val="26"/>
          <w:lang w:val="en-CA"/>
        </w:rPr>
        <w:t xml:space="preserve">of Cabinet Office. </w:t>
      </w:r>
    </w:p>
    <w:p w:rsidR="00BB5EFD" w:rsidRPr="001418B7" w:rsidRDefault="00F31B15" w:rsidP="00BB5EFD">
      <w:pPr>
        <w:pStyle w:val="MAINPARAGRAPH"/>
        <w:rPr>
          <w:b/>
          <w:sz w:val="26"/>
          <w:lang w:val="en-CA"/>
        </w:rPr>
      </w:pPr>
      <w:r w:rsidRPr="001418B7">
        <w:rPr>
          <w:sz w:val="26"/>
          <w:lang w:val="en-CA"/>
        </w:rPr>
        <w:t>Counsel agree</w:t>
      </w:r>
      <w:r w:rsidR="00870579" w:rsidRPr="001418B7">
        <w:rPr>
          <w:sz w:val="26"/>
          <w:lang w:val="en-CA"/>
        </w:rPr>
        <w:t xml:space="preserve"> th</w:t>
      </w:r>
      <w:r w:rsidRPr="001418B7">
        <w:rPr>
          <w:sz w:val="26"/>
          <w:lang w:val="en-CA"/>
        </w:rPr>
        <w:t>at there is no legislation that</w:t>
      </w:r>
      <w:r w:rsidR="00870579" w:rsidRPr="001418B7">
        <w:rPr>
          <w:sz w:val="26"/>
          <w:lang w:val="en-CA"/>
        </w:rPr>
        <w:t xml:space="preserve"> either creates</w:t>
      </w:r>
      <w:r w:rsidR="00F34AC7" w:rsidRPr="001418B7">
        <w:rPr>
          <w:sz w:val="26"/>
          <w:lang w:val="en-CA"/>
        </w:rPr>
        <w:t xml:space="preserve"> the position of Chief of Staff or defines </w:t>
      </w:r>
      <w:r w:rsidR="0086508E" w:rsidRPr="001418B7">
        <w:rPr>
          <w:sz w:val="26"/>
          <w:lang w:val="en-CA"/>
        </w:rPr>
        <w:t xml:space="preserve">its </w:t>
      </w:r>
      <w:r w:rsidR="00F34AC7" w:rsidRPr="001418B7">
        <w:rPr>
          <w:sz w:val="26"/>
          <w:lang w:val="en-CA"/>
        </w:rPr>
        <w:t>duties and responsibilities.</w:t>
      </w:r>
      <w:r w:rsidR="00DC16BE" w:rsidRPr="001418B7">
        <w:rPr>
          <w:sz w:val="26"/>
          <w:lang w:val="en-CA"/>
        </w:rPr>
        <w:t xml:space="preserve"> </w:t>
      </w:r>
      <w:r w:rsidR="0095145A" w:rsidRPr="001418B7">
        <w:rPr>
          <w:sz w:val="26"/>
          <w:lang w:val="en-CA"/>
        </w:rPr>
        <w:t xml:space="preserve">Of significance, </w:t>
      </w:r>
      <w:r w:rsidR="00DC16BE" w:rsidRPr="001418B7">
        <w:rPr>
          <w:sz w:val="26"/>
          <w:lang w:val="en-CA"/>
        </w:rPr>
        <w:t>Mr. Livingston was never</w:t>
      </w:r>
      <w:r w:rsidR="00E321EA" w:rsidRPr="001418B7">
        <w:rPr>
          <w:sz w:val="26"/>
          <w:lang w:val="en-CA"/>
        </w:rPr>
        <w:t xml:space="preserve"> requ</w:t>
      </w:r>
      <w:r w:rsidR="00DC16BE" w:rsidRPr="001418B7">
        <w:rPr>
          <w:sz w:val="26"/>
          <w:lang w:val="en-CA"/>
        </w:rPr>
        <w:t>ired to take an oath of office</w:t>
      </w:r>
      <w:r w:rsidR="0095145A" w:rsidRPr="001418B7">
        <w:rPr>
          <w:sz w:val="26"/>
          <w:lang w:val="en-CA"/>
        </w:rPr>
        <w:t>.</w:t>
      </w:r>
      <w:r w:rsidR="000D5E57" w:rsidRPr="001418B7">
        <w:rPr>
          <w:sz w:val="26"/>
          <w:lang w:val="en-CA"/>
        </w:rPr>
        <w:t xml:space="preserve"> There is also</w:t>
      </w:r>
      <w:r w:rsidR="00E321EA" w:rsidRPr="001418B7">
        <w:rPr>
          <w:sz w:val="26"/>
          <w:lang w:val="en-CA"/>
        </w:rPr>
        <w:t xml:space="preserve"> no evidence that he was </w:t>
      </w:r>
      <w:r w:rsidR="00BB5DC0" w:rsidRPr="001418B7">
        <w:rPr>
          <w:sz w:val="26"/>
          <w:lang w:val="en-CA"/>
        </w:rPr>
        <w:t>appointed by the Premier to discharge a</w:t>
      </w:r>
      <w:r w:rsidR="0086508E" w:rsidRPr="001418B7">
        <w:rPr>
          <w:sz w:val="26"/>
          <w:lang w:val="en-CA"/>
        </w:rPr>
        <w:t>ny</w:t>
      </w:r>
      <w:r w:rsidR="00BB5DC0" w:rsidRPr="001418B7">
        <w:rPr>
          <w:sz w:val="26"/>
          <w:lang w:val="en-CA"/>
        </w:rPr>
        <w:t xml:space="preserve"> </w:t>
      </w:r>
      <w:r w:rsidR="008404EE" w:rsidRPr="001418B7">
        <w:rPr>
          <w:sz w:val="26"/>
          <w:lang w:val="en-CA"/>
        </w:rPr>
        <w:t>“</w:t>
      </w:r>
      <w:r w:rsidR="00BB5DC0" w:rsidRPr="001418B7">
        <w:rPr>
          <w:sz w:val="26"/>
          <w:lang w:val="en-CA"/>
        </w:rPr>
        <w:t>public duty</w:t>
      </w:r>
      <w:r w:rsidR="008404EE" w:rsidRPr="001418B7">
        <w:rPr>
          <w:sz w:val="26"/>
          <w:lang w:val="en-CA"/>
        </w:rPr>
        <w:t>”</w:t>
      </w:r>
      <w:r w:rsidR="00BB5DC0" w:rsidRPr="001418B7">
        <w:rPr>
          <w:sz w:val="26"/>
          <w:lang w:val="en-CA"/>
        </w:rPr>
        <w:t xml:space="preserve"> or occupy a position of </w:t>
      </w:r>
      <w:r w:rsidR="008404EE" w:rsidRPr="001418B7">
        <w:rPr>
          <w:sz w:val="26"/>
          <w:lang w:val="en-CA"/>
        </w:rPr>
        <w:t>“</w:t>
      </w:r>
      <w:r w:rsidR="00BB5DC0" w:rsidRPr="001418B7">
        <w:rPr>
          <w:sz w:val="26"/>
          <w:lang w:val="en-CA"/>
        </w:rPr>
        <w:t>public trust</w:t>
      </w:r>
      <w:r w:rsidR="008404EE" w:rsidRPr="001418B7">
        <w:rPr>
          <w:sz w:val="26"/>
          <w:lang w:val="en-CA"/>
        </w:rPr>
        <w:t>”</w:t>
      </w:r>
      <w:r w:rsidR="00BB5DC0" w:rsidRPr="001418B7">
        <w:rPr>
          <w:sz w:val="26"/>
          <w:lang w:val="en-CA"/>
        </w:rPr>
        <w:t xml:space="preserve">. </w:t>
      </w:r>
      <w:r w:rsidR="000D5E57" w:rsidRPr="001418B7">
        <w:rPr>
          <w:sz w:val="26"/>
          <w:lang w:val="en-CA"/>
        </w:rPr>
        <w:t>Rather, the defendant simply</w:t>
      </w:r>
      <w:r w:rsidR="00A45C4D" w:rsidRPr="001418B7">
        <w:rPr>
          <w:sz w:val="26"/>
          <w:lang w:val="en-CA"/>
        </w:rPr>
        <w:t xml:space="preserve"> accepte</w:t>
      </w:r>
      <w:r w:rsidR="008404EE" w:rsidRPr="001418B7">
        <w:rPr>
          <w:sz w:val="26"/>
          <w:lang w:val="en-CA"/>
        </w:rPr>
        <w:t>d an offer from the Premier</w:t>
      </w:r>
      <w:r w:rsidR="00A45C4D" w:rsidRPr="001418B7">
        <w:rPr>
          <w:sz w:val="26"/>
          <w:lang w:val="en-CA"/>
        </w:rPr>
        <w:t xml:space="preserve"> </w:t>
      </w:r>
      <w:r w:rsidR="00233F87" w:rsidRPr="001418B7">
        <w:rPr>
          <w:sz w:val="26"/>
          <w:lang w:val="en-CA"/>
        </w:rPr>
        <w:t xml:space="preserve">to be his most senior </w:t>
      </w:r>
      <w:r w:rsidR="0039470B" w:rsidRPr="001418B7">
        <w:rPr>
          <w:sz w:val="26"/>
          <w:lang w:val="en-CA"/>
        </w:rPr>
        <w:t>unelected advisor and to be in charge of the OPO</w:t>
      </w:r>
      <w:r w:rsidR="00146AE5" w:rsidRPr="001418B7">
        <w:rPr>
          <w:sz w:val="26"/>
          <w:lang w:val="en-CA"/>
        </w:rPr>
        <w:t>. The evidence is that his role</w:t>
      </w:r>
      <w:r w:rsidR="004C0118" w:rsidRPr="001418B7">
        <w:rPr>
          <w:sz w:val="26"/>
          <w:lang w:val="en-CA"/>
        </w:rPr>
        <w:t xml:space="preserve"> as advisor </w:t>
      </w:r>
      <w:r w:rsidR="00146AE5" w:rsidRPr="001418B7">
        <w:rPr>
          <w:sz w:val="26"/>
          <w:lang w:val="en-CA"/>
        </w:rPr>
        <w:t>was to act in the partisan political interests of the Premier and the governing party.</w:t>
      </w:r>
      <w:r w:rsidR="00154298" w:rsidRPr="001418B7">
        <w:rPr>
          <w:sz w:val="26"/>
          <w:lang w:val="en-CA"/>
        </w:rPr>
        <w:t xml:space="preserve"> Of course, he was also expected</w:t>
      </w:r>
      <w:r w:rsidR="004C0118" w:rsidRPr="001418B7">
        <w:rPr>
          <w:sz w:val="26"/>
          <w:lang w:val="en-CA"/>
        </w:rPr>
        <w:t xml:space="preserve"> to conduct himself</w:t>
      </w:r>
      <w:r w:rsidR="00154298" w:rsidRPr="001418B7">
        <w:rPr>
          <w:sz w:val="26"/>
          <w:lang w:val="en-CA"/>
        </w:rPr>
        <w:t xml:space="preserve"> </w:t>
      </w:r>
      <w:r w:rsidR="00495C78" w:rsidRPr="001418B7">
        <w:rPr>
          <w:sz w:val="26"/>
          <w:lang w:val="en-CA"/>
        </w:rPr>
        <w:t>in accordance with</w:t>
      </w:r>
      <w:r w:rsidR="004C0118" w:rsidRPr="001418B7">
        <w:rPr>
          <w:sz w:val="26"/>
          <w:lang w:val="en-CA"/>
        </w:rPr>
        <w:t xml:space="preserve"> </w:t>
      </w:r>
      <w:r w:rsidR="00636A5F">
        <w:rPr>
          <w:sz w:val="26"/>
          <w:lang w:val="en-CA"/>
        </w:rPr>
        <w:t xml:space="preserve">the </w:t>
      </w:r>
      <w:r w:rsidR="0072112B" w:rsidRPr="001418B7">
        <w:rPr>
          <w:sz w:val="26"/>
          <w:lang w:val="en-CA"/>
        </w:rPr>
        <w:t>law.</w:t>
      </w:r>
    </w:p>
    <w:p w:rsidR="00D208EA" w:rsidRPr="001418B7" w:rsidRDefault="00254C3E" w:rsidP="00BB5EFD">
      <w:pPr>
        <w:pStyle w:val="MAINPARAGRAPH"/>
        <w:rPr>
          <w:b/>
          <w:sz w:val="26"/>
          <w:lang w:val="en-CA"/>
        </w:rPr>
      </w:pPr>
      <w:r w:rsidRPr="001418B7">
        <w:rPr>
          <w:sz w:val="26"/>
          <w:lang w:val="en-CA"/>
        </w:rPr>
        <w:t>Nevertheless</w:t>
      </w:r>
      <w:r w:rsidR="0072112B" w:rsidRPr="001418B7">
        <w:rPr>
          <w:sz w:val="26"/>
          <w:lang w:val="en-CA"/>
        </w:rPr>
        <w:t>, there can be no doubt that in his role as</w:t>
      </w:r>
      <w:r w:rsidRPr="001418B7">
        <w:rPr>
          <w:sz w:val="26"/>
          <w:lang w:val="en-CA"/>
        </w:rPr>
        <w:t xml:space="preserve"> Chief of Staff</w:t>
      </w:r>
      <w:r w:rsidR="00146AE5" w:rsidRPr="001418B7">
        <w:rPr>
          <w:sz w:val="26"/>
          <w:lang w:val="en-CA"/>
        </w:rPr>
        <w:t xml:space="preserve">, Mr. Livingston wielded </w:t>
      </w:r>
      <w:r w:rsidR="009211DD" w:rsidRPr="001418B7">
        <w:rPr>
          <w:sz w:val="26"/>
          <w:lang w:val="en-CA"/>
        </w:rPr>
        <w:t>significant</w:t>
      </w:r>
      <w:r w:rsidR="00154298" w:rsidRPr="001418B7">
        <w:rPr>
          <w:sz w:val="26"/>
          <w:lang w:val="en-CA"/>
        </w:rPr>
        <w:t xml:space="preserve"> power and influence. </w:t>
      </w:r>
      <w:r w:rsidR="00BE4D17" w:rsidRPr="001418B7">
        <w:rPr>
          <w:sz w:val="26"/>
          <w:lang w:val="en-CA"/>
        </w:rPr>
        <w:t xml:space="preserve">This became apparent in his dealings with </w:t>
      </w:r>
      <w:r w:rsidR="00D208EA" w:rsidRPr="001418B7">
        <w:rPr>
          <w:sz w:val="26"/>
          <w:lang w:val="en-CA"/>
        </w:rPr>
        <w:t>the Secretary of Cabinet over access to OPO computers.</w:t>
      </w:r>
    </w:p>
    <w:p w:rsidR="00B450CE" w:rsidRPr="001418B7" w:rsidRDefault="00556799" w:rsidP="00BB5EFD">
      <w:pPr>
        <w:pStyle w:val="MAINPARAGRAPH"/>
        <w:rPr>
          <w:b/>
          <w:sz w:val="26"/>
          <w:lang w:val="en-CA"/>
        </w:rPr>
      </w:pPr>
      <w:r w:rsidRPr="001418B7">
        <w:rPr>
          <w:sz w:val="26"/>
          <w:lang w:val="en-CA"/>
        </w:rPr>
        <w:t>Mr. W</w:t>
      </w:r>
      <w:r w:rsidR="00D208EA" w:rsidRPr="001418B7">
        <w:rPr>
          <w:sz w:val="26"/>
          <w:lang w:val="en-CA"/>
        </w:rPr>
        <w:t>allace testified that one of his</w:t>
      </w:r>
      <w:r w:rsidRPr="001418B7">
        <w:rPr>
          <w:sz w:val="26"/>
          <w:lang w:val="en-CA"/>
        </w:rPr>
        <w:t xml:space="preserve"> responsibilities</w:t>
      </w:r>
      <w:r w:rsidR="002F68E1" w:rsidRPr="001418B7">
        <w:rPr>
          <w:sz w:val="26"/>
          <w:lang w:val="en-CA"/>
        </w:rPr>
        <w:t xml:space="preserve"> as the province’</w:t>
      </w:r>
      <w:r w:rsidR="000F3757">
        <w:rPr>
          <w:sz w:val="26"/>
          <w:lang w:val="en-CA"/>
        </w:rPr>
        <w:t>s most senior civil servant who headed up</w:t>
      </w:r>
      <w:r w:rsidR="00472866" w:rsidRPr="001418B7">
        <w:rPr>
          <w:sz w:val="26"/>
          <w:lang w:val="en-CA"/>
        </w:rPr>
        <w:t xml:space="preserve"> </w:t>
      </w:r>
      <w:r w:rsidR="00907328" w:rsidRPr="001418B7">
        <w:rPr>
          <w:sz w:val="26"/>
          <w:lang w:val="en-CA"/>
        </w:rPr>
        <w:t>the non-partisan</w:t>
      </w:r>
      <w:r w:rsidR="00F92637" w:rsidRPr="001418B7">
        <w:rPr>
          <w:sz w:val="26"/>
          <w:lang w:val="en-CA"/>
        </w:rPr>
        <w:t xml:space="preserve"> Cabinet Office</w:t>
      </w:r>
      <w:r w:rsidR="004966FA">
        <w:rPr>
          <w:sz w:val="26"/>
          <w:lang w:val="en-CA"/>
        </w:rPr>
        <w:t>,</w:t>
      </w:r>
      <w:r w:rsidR="00F92637" w:rsidRPr="001418B7">
        <w:rPr>
          <w:sz w:val="26"/>
          <w:lang w:val="en-CA"/>
        </w:rPr>
        <w:t xml:space="preserve"> was to “provide</w:t>
      </w:r>
      <w:r w:rsidR="00EF6369" w:rsidRPr="001418B7">
        <w:rPr>
          <w:sz w:val="26"/>
          <w:lang w:val="en-CA"/>
        </w:rPr>
        <w:t xml:space="preserve"> administrative</w:t>
      </w:r>
      <w:r w:rsidR="00F92637" w:rsidRPr="001418B7">
        <w:rPr>
          <w:sz w:val="26"/>
          <w:lang w:val="en-CA"/>
        </w:rPr>
        <w:t xml:space="preserve"> support for the Office of the Premier”.</w:t>
      </w:r>
      <w:r w:rsidR="00254C3E" w:rsidRPr="001418B7">
        <w:rPr>
          <w:sz w:val="26"/>
          <w:lang w:val="en-CA"/>
        </w:rPr>
        <w:t xml:space="preserve"> </w:t>
      </w:r>
      <w:r w:rsidR="00592D54" w:rsidRPr="001418B7">
        <w:rPr>
          <w:sz w:val="26"/>
          <w:lang w:val="en-CA"/>
        </w:rPr>
        <w:t>In his testimony, the Secretary was clear that he</w:t>
      </w:r>
      <w:r w:rsidR="002618C7" w:rsidRPr="001418B7">
        <w:rPr>
          <w:sz w:val="26"/>
          <w:lang w:val="en-CA"/>
        </w:rPr>
        <w:t xml:space="preserve"> was obliged to seriously consider</w:t>
      </w:r>
      <w:r w:rsidR="00900D21" w:rsidRPr="001418B7">
        <w:rPr>
          <w:sz w:val="26"/>
          <w:lang w:val="en-CA"/>
        </w:rPr>
        <w:t xml:space="preserve"> and, if possible, accommodate</w:t>
      </w:r>
      <w:r w:rsidR="002618C7" w:rsidRPr="001418B7">
        <w:rPr>
          <w:sz w:val="26"/>
          <w:lang w:val="en-CA"/>
        </w:rPr>
        <w:t xml:space="preserve"> Mr. </w:t>
      </w:r>
      <w:r w:rsidR="00DF4AA1" w:rsidRPr="001418B7">
        <w:rPr>
          <w:sz w:val="26"/>
          <w:lang w:val="en-CA"/>
        </w:rPr>
        <w:t xml:space="preserve">Livingston’s </w:t>
      </w:r>
      <w:r w:rsidR="00971DAC" w:rsidRPr="001418B7">
        <w:rPr>
          <w:sz w:val="26"/>
          <w:lang w:val="en-CA"/>
        </w:rPr>
        <w:t>“</w:t>
      </w:r>
      <w:r w:rsidR="00DF4AA1" w:rsidRPr="001418B7">
        <w:rPr>
          <w:sz w:val="26"/>
          <w:lang w:val="en-CA"/>
        </w:rPr>
        <w:t>extraordinary</w:t>
      </w:r>
      <w:r w:rsidR="00971DAC" w:rsidRPr="001418B7">
        <w:rPr>
          <w:sz w:val="26"/>
          <w:lang w:val="en-CA"/>
        </w:rPr>
        <w:t>”</w:t>
      </w:r>
      <w:r w:rsidR="00CC1C8C" w:rsidRPr="001418B7">
        <w:rPr>
          <w:sz w:val="26"/>
          <w:lang w:val="en-CA"/>
        </w:rPr>
        <w:t xml:space="preserve"> </w:t>
      </w:r>
      <w:r w:rsidR="002618C7" w:rsidRPr="001418B7">
        <w:rPr>
          <w:sz w:val="26"/>
          <w:lang w:val="en-CA"/>
        </w:rPr>
        <w:t>request for administrative rights to OPO computers</w:t>
      </w:r>
      <w:r w:rsidR="00900D21" w:rsidRPr="001418B7">
        <w:rPr>
          <w:sz w:val="26"/>
          <w:lang w:val="en-CA"/>
        </w:rPr>
        <w:t xml:space="preserve">. </w:t>
      </w:r>
      <w:r w:rsidR="00C26A5F" w:rsidRPr="001418B7">
        <w:rPr>
          <w:sz w:val="26"/>
          <w:lang w:val="en-CA"/>
        </w:rPr>
        <w:t>D</w:t>
      </w:r>
      <w:r w:rsidR="00B45EB1" w:rsidRPr="001418B7">
        <w:rPr>
          <w:sz w:val="26"/>
          <w:lang w:val="en-CA"/>
        </w:rPr>
        <w:t>espite serious</w:t>
      </w:r>
      <w:r w:rsidR="00797F74" w:rsidRPr="001418B7">
        <w:rPr>
          <w:sz w:val="26"/>
          <w:lang w:val="en-CA"/>
        </w:rPr>
        <w:t xml:space="preserve"> misgivings, </w:t>
      </w:r>
      <w:r w:rsidR="00C26A5F" w:rsidRPr="001418B7">
        <w:rPr>
          <w:sz w:val="26"/>
          <w:lang w:val="en-CA"/>
        </w:rPr>
        <w:t xml:space="preserve">he </w:t>
      </w:r>
      <w:r w:rsidR="00797F74" w:rsidRPr="001418B7">
        <w:rPr>
          <w:sz w:val="26"/>
          <w:lang w:val="en-CA"/>
        </w:rPr>
        <w:t>granted Mr. Livingston’s request</w:t>
      </w:r>
      <w:r w:rsidR="004966FA">
        <w:rPr>
          <w:sz w:val="26"/>
          <w:lang w:val="en-CA"/>
        </w:rPr>
        <w:t xml:space="preserve">. In granting </w:t>
      </w:r>
      <w:r w:rsidR="00ED6A3F">
        <w:rPr>
          <w:sz w:val="26"/>
          <w:lang w:val="en-CA"/>
        </w:rPr>
        <w:t xml:space="preserve">the authorization </w:t>
      </w:r>
      <w:r w:rsidR="00C26A5F" w:rsidRPr="001418B7">
        <w:rPr>
          <w:sz w:val="26"/>
          <w:lang w:val="en-CA"/>
        </w:rPr>
        <w:t xml:space="preserve">sought, </w:t>
      </w:r>
      <w:r w:rsidR="00683E5E" w:rsidRPr="001418B7">
        <w:rPr>
          <w:sz w:val="26"/>
          <w:lang w:val="en-CA"/>
        </w:rPr>
        <w:t>Mr. Wallace</w:t>
      </w:r>
      <w:r w:rsidR="00BE61EA" w:rsidRPr="001418B7">
        <w:rPr>
          <w:sz w:val="26"/>
          <w:lang w:val="en-CA"/>
        </w:rPr>
        <w:t xml:space="preserve"> relied on the</w:t>
      </w:r>
      <w:r w:rsidR="00B450CE" w:rsidRPr="001418B7">
        <w:rPr>
          <w:sz w:val="26"/>
          <w:lang w:val="en-CA"/>
        </w:rPr>
        <w:t xml:space="preserve"> defendant’s</w:t>
      </w:r>
      <w:r w:rsidR="00BE61EA" w:rsidRPr="001418B7">
        <w:rPr>
          <w:sz w:val="26"/>
          <w:lang w:val="en-CA"/>
        </w:rPr>
        <w:t xml:space="preserve"> mis</w:t>
      </w:r>
      <w:r w:rsidR="00FD3206" w:rsidRPr="001418B7">
        <w:rPr>
          <w:sz w:val="26"/>
          <w:lang w:val="en-CA"/>
        </w:rPr>
        <w:t>r</w:t>
      </w:r>
      <w:r w:rsidR="00B450CE" w:rsidRPr="001418B7">
        <w:rPr>
          <w:sz w:val="26"/>
          <w:lang w:val="en-CA"/>
        </w:rPr>
        <w:t>epresentations</w:t>
      </w:r>
      <w:r w:rsidR="00BF6442">
        <w:rPr>
          <w:sz w:val="26"/>
          <w:lang w:val="en-CA"/>
        </w:rPr>
        <w:t xml:space="preserve">, as well as </w:t>
      </w:r>
      <w:r w:rsidR="00077273" w:rsidRPr="001418B7">
        <w:rPr>
          <w:sz w:val="26"/>
          <w:lang w:val="en-CA"/>
        </w:rPr>
        <w:t>inaccurate information</w:t>
      </w:r>
      <w:r w:rsidR="00BF6442">
        <w:rPr>
          <w:sz w:val="26"/>
          <w:lang w:val="en-CA"/>
        </w:rPr>
        <w:t xml:space="preserve"> received</w:t>
      </w:r>
      <w:r w:rsidR="00A354C8" w:rsidRPr="001418B7">
        <w:rPr>
          <w:sz w:val="26"/>
          <w:lang w:val="en-CA"/>
        </w:rPr>
        <w:t xml:space="preserve"> from others in government</w:t>
      </w:r>
      <w:r w:rsidR="00683E5E" w:rsidRPr="001418B7">
        <w:rPr>
          <w:sz w:val="26"/>
          <w:lang w:val="en-CA"/>
        </w:rPr>
        <w:t xml:space="preserve">. </w:t>
      </w:r>
    </w:p>
    <w:p w:rsidR="00254C3E" w:rsidRPr="001418B7" w:rsidRDefault="00713613" w:rsidP="00BB5EFD">
      <w:pPr>
        <w:pStyle w:val="MAINPARAGRAPH"/>
        <w:rPr>
          <w:b/>
          <w:sz w:val="26"/>
          <w:lang w:val="en-CA"/>
        </w:rPr>
      </w:pPr>
      <w:r w:rsidRPr="001418B7">
        <w:rPr>
          <w:sz w:val="26"/>
          <w:lang w:val="en-CA"/>
        </w:rPr>
        <w:t xml:space="preserve">The </w:t>
      </w:r>
      <w:r w:rsidR="0054492F" w:rsidRPr="001418B7">
        <w:rPr>
          <w:sz w:val="26"/>
          <w:lang w:val="en-CA"/>
        </w:rPr>
        <w:t xml:space="preserve">ultimate </w:t>
      </w:r>
      <w:r w:rsidRPr="001418B7">
        <w:rPr>
          <w:sz w:val="26"/>
          <w:lang w:val="en-CA"/>
        </w:rPr>
        <w:t>result was that the Secreta</w:t>
      </w:r>
      <w:r w:rsidR="00B450CE" w:rsidRPr="001418B7">
        <w:rPr>
          <w:sz w:val="26"/>
          <w:lang w:val="en-CA"/>
        </w:rPr>
        <w:t xml:space="preserve">ry </w:t>
      </w:r>
      <w:r w:rsidR="00855854" w:rsidRPr="001418B7">
        <w:rPr>
          <w:sz w:val="26"/>
          <w:lang w:val="en-CA"/>
        </w:rPr>
        <w:t>entrusted Mr. Livingston with</w:t>
      </w:r>
      <w:r w:rsidR="0054492F" w:rsidRPr="001418B7">
        <w:rPr>
          <w:sz w:val="26"/>
          <w:lang w:val="en-CA"/>
        </w:rPr>
        <w:t xml:space="preserve"> the authority to access</w:t>
      </w:r>
      <w:r w:rsidR="006C2E59" w:rsidRPr="001418B7">
        <w:rPr>
          <w:sz w:val="26"/>
          <w:lang w:val="en-CA"/>
        </w:rPr>
        <w:t xml:space="preserve"> every computer</w:t>
      </w:r>
      <w:r w:rsidRPr="001418B7">
        <w:rPr>
          <w:sz w:val="26"/>
          <w:lang w:val="en-CA"/>
        </w:rPr>
        <w:t xml:space="preserve"> in </w:t>
      </w:r>
      <w:r w:rsidR="00F401C8" w:rsidRPr="001418B7">
        <w:rPr>
          <w:sz w:val="26"/>
          <w:lang w:val="en-CA"/>
        </w:rPr>
        <w:t>the Off</w:t>
      </w:r>
      <w:r w:rsidR="00C02BB2" w:rsidRPr="001418B7">
        <w:rPr>
          <w:sz w:val="26"/>
          <w:lang w:val="en-CA"/>
        </w:rPr>
        <w:t>ice of the Pr</w:t>
      </w:r>
      <w:r w:rsidR="00077CEB" w:rsidRPr="001418B7">
        <w:rPr>
          <w:sz w:val="26"/>
          <w:lang w:val="en-CA"/>
        </w:rPr>
        <w:t>emier</w:t>
      </w:r>
      <w:r w:rsidR="006C2E59" w:rsidRPr="001418B7">
        <w:rPr>
          <w:sz w:val="26"/>
          <w:lang w:val="en-CA"/>
        </w:rPr>
        <w:t>. In doing so</w:t>
      </w:r>
      <w:r w:rsidR="00077273" w:rsidRPr="001418B7">
        <w:rPr>
          <w:sz w:val="26"/>
          <w:lang w:val="en-CA"/>
        </w:rPr>
        <w:t>, Mr. Wallace put</w:t>
      </w:r>
      <w:r w:rsidR="00BF6442">
        <w:rPr>
          <w:sz w:val="26"/>
          <w:lang w:val="en-CA"/>
        </w:rPr>
        <w:t xml:space="preserve"> the defendant</w:t>
      </w:r>
      <w:r w:rsidR="00FB045C" w:rsidRPr="001418B7">
        <w:rPr>
          <w:sz w:val="26"/>
          <w:lang w:val="en-CA"/>
        </w:rPr>
        <w:t xml:space="preserve"> in a position of trust and authority</w:t>
      </w:r>
      <w:r w:rsidR="00BF6442">
        <w:rPr>
          <w:sz w:val="26"/>
          <w:lang w:val="en-CA"/>
        </w:rPr>
        <w:t xml:space="preserve"> with regard</w:t>
      </w:r>
      <w:r w:rsidR="00EA3A1D">
        <w:rPr>
          <w:sz w:val="26"/>
          <w:lang w:val="en-CA"/>
        </w:rPr>
        <w:t xml:space="preserve"> to those</w:t>
      </w:r>
      <w:r w:rsidR="00077273" w:rsidRPr="001418B7">
        <w:rPr>
          <w:sz w:val="26"/>
          <w:lang w:val="en-CA"/>
        </w:rPr>
        <w:t xml:space="preserve"> comput</w:t>
      </w:r>
      <w:r w:rsidR="00EA3A1D">
        <w:rPr>
          <w:sz w:val="26"/>
          <w:lang w:val="en-CA"/>
        </w:rPr>
        <w:t>ers</w:t>
      </w:r>
      <w:r w:rsidR="00FB045C" w:rsidRPr="001418B7">
        <w:rPr>
          <w:sz w:val="26"/>
          <w:lang w:val="en-CA"/>
        </w:rPr>
        <w:t xml:space="preserve">. </w:t>
      </w:r>
      <w:r w:rsidR="00EA3A1D">
        <w:rPr>
          <w:sz w:val="26"/>
          <w:lang w:val="en-CA"/>
        </w:rPr>
        <w:t>Mr. Livingston chose to exploit the Secretary’s trust</w:t>
      </w:r>
      <w:r w:rsidR="00D03F65">
        <w:rPr>
          <w:sz w:val="26"/>
          <w:lang w:val="en-CA"/>
        </w:rPr>
        <w:t>, as well</w:t>
      </w:r>
      <w:r w:rsidR="006322FD">
        <w:rPr>
          <w:sz w:val="26"/>
          <w:lang w:val="en-CA"/>
        </w:rPr>
        <w:t xml:space="preserve"> </w:t>
      </w:r>
      <w:r w:rsidR="00D03F65">
        <w:rPr>
          <w:sz w:val="26"/>
          <w:lang w:val="en-CA"/>
        </w:rPr>
        <w:t>as the authority given him when he directed the indiscriminate</w:t>
      </w:r>
      <w:r w:rsidR="006322FD">
        <w:rPr>
          <w:sz w:val="26"/>
          <w:lang w:val="en-CA"/>
        </w:rPr>
        <w:t xml:space="preserve"> wiping of</w:t>
      </w:r>
      <w:r w:rsidR="00D03F65">
        <w:rPr>
          <w:sz w:val="26"/>
          <w:lang w:val="en-CA"/>
        </w:rPr>
        <w:t xml:space="preserve"> the hard drive</w:t>
      </w:r>
      <w:r w:rsidR="006322FD">
        <w:rPr>
          <w:sz w:val="26"/>
          <w:lang w:val="en-CA"/>
        </w:rPr>
        <w:t>s in order to eliminate sensitive</w:t>
      </w:r>
      <w:r w:rsidR="00D03F65">
        <w:rPr>
          <w:sz w:val="26"/>
          <w:lang w:val="en-CA"/>
        </w:rPr>
        <w:t xml:space="preserve"> and re</w:t>
      </w:r>
      <w:r w:rsidR="006322FD">
        <w:rPr>
          <w:sz w:val="26"/>
          <w:lang w:val="en-CA"/>
        </w:rPr>
        <w:t xml:space="preserve">tainable work-related data. </w:t>
      </w:r>
      <w:r w:rsidR="0095000B" w:rsidRPr="001418B7">
        <w:rPr>
          <w:sz w:val="26"/>
          <w:lang w:val="en-CA"/>
        </w:rPr>
        <w:t>In this regard</w:t>
      </w:r>
      <w:r w:rsidR="00F72D7E" w:rsidRPr="001418B7">
        <w:rPr>
          <w:sz w:val="26"/>
          <w:lang w:val="en-CA"/>
        </w:rPr>
        <w:t>,</w:t>
      </w:r>
      <w:r w:rsidR="0095000B" w:rsidRPr="001418B7">
        <w:rPr>
          <w:sz w:val="26"/>
          <w:lang w:val="en-CA"/>
        </w:rPr>
        <w:t xml:space="preserve"> </w:t>
      </w:r>
      <w:r w:rsidR="00ED6A3F">
        <w:rPr>
          <w:sz w:val="26"/>
          <w:lang w:val="en-CA"/>
        </w:rPr>
        <w:t xml:space="preserve">the </w:t>
      </w:r>
      <w:r w:rsidR="00ED6A3F">
        <w:rPr>
          <w:sz w:val="26"/>
          <w:lang w:val="en-CA"/>
        </w:rPr>
        <w:lastRenderedPageBreak/>
        <w:t>defendant</w:t>
      </w:r>
      <w:r w:rsidR="00F72D7E" w:rsidRPr="001418B7">
        <w:rPr>
          <w:sz w:val="26"/>
          <w:lang w:val="en-CA"/>
        </w:rPr>
        <w:t xml:space="preserve"> abused a position of trust and authori</w:t>
      </w:r>
      <w:r w:rsidR="006322FD">
        <w:rPr>
          <w:sz w:val="26"/>
          <w:lang w:val="en-CA"/>
        </w:rPr>
        <w:t>ty in committing the offence. T</w:t>
      </w:r>
      <w:r w:rsidR="00F72D7E" w:rsidRPr="001418B7">
        <w:rPr>
          <w:sz w:val="26"/>
          <w:lang w:val="en-CA"/>
        </w:rPr>
        <w:t xml:space="preserve">his </w:t>
      </w:r>
      <w:r w:rsidR="003458E0" w:rsidRPr="001418B7">
        <w:rPr>
          <w:sz w:val="26"/>
          <w:lang w:val="en-CA"/>
        </w:rPr>
        <w:t>constitutes an aggravating facto</w:t>
      </w:r>
      <w:r w:rsidR="006C2E59" w:rsidRPr="001418B7">
        <w:rPr>
          <w:sz w:val="26"/>
          <w:lang w:val="en-CA"/>
        </w:rPr>
        <w:t>r in the determination of</w:t>
      </w:r>
      <w:r w:rsidR="00FA53AD" w:rsidRPr="001418B7">
        <w:rPr>
          <w:sz w:val="26"/>
          <w:lang w:val="en-CA"/>
        </w:rPr>
        <w:t xml:space="preserve"> a fit sentence.</w:t>
      </w:r>
    </w:p>
    <w:p w:rsidR="008A3872" w:rsidRPr="001418B7" w:rsidRDefault="003458E0" w:rsidP="00BB5EFD">
      <w:pPr>
        <w:pStyle w:val="MAINPARAGRAPH"/>
        <w:rPr>
          <w:b/>
          <w:sz w:val="26"/>
          <w:lang w:val="en-CA"/>
        </w:rPr>
      </w:pPr>
      <w:r w:rsidRPr="001418B7">
        <w:rPr>
          <w:sz w:val="26"/>
          <w:lang w:val="en-CA"/>
        </w:rPr>
        <w:t>That</w:t>
      </w:r>
      <w:r w:rsidR="001D7400" w:rsidRPr="001418B7">
        <w:rPr>
          <w:sz w:val="26"/>
          <w:lang w:val="en-CA"/>
        </w:rPr>
        <w:t xml:space="preserve"> Mr. Livingston</w:t>
      </w:r>
      <w:r w:rsidR="00A17F25" w:rsidRPr="001418B7">
        <w:rPr>
          <w:sz w:val="26"/>
          <w:lang w:val="en-CA"/>
        </w:rPr>
        <w:t xml:space="preserve"> a</w:t>
      </w:r>
      <w:r w:rsidR="00AB1E24">
        <w:rPr>
          <w:sz w:val="26"/>
          <w:lang w:val="en-CA"/>
        </w:rPr>
        <w:t>bused the</w:t>
      </w:r>
      <w:r w:rsidR="00A17F25" w:rsidRPr="001418B7">
        <w:rPr>
          <w:sz w:val="26"/>
          <w:lang w:val="en-CA"/>
        </w:rPr>
        <w:t xml:space="preserve"> trust a</w:t>
      </w:r>
      <w:r w:rsidR="00ED6A3F">
        <w:rPr>
          <w:sz w:val="26"/>
          <w:lang w:val="en-CA"/>
        </w:rPr>
        <w:t xml:space="preserve">nd </w:t>
      </w:r>
      <w:r w:rsidR="00910A1E">
        <w:rPr>
          <w:sz w:val="26"/>
          <w:lang w:val="en-CA"/>
        </w:rPr>
        <w:t>autho</w:t>
      </w:r>
      <w:r w:rsidR="006171BE">
        <w:rPr>
          <w:sz w:val="26"/>
          <w:lang w:val="en-CA"/>
        </w:rPr>
        <w:t xml:space="preserve">rity </w:t>
      </w:r>
      <w:r w:rsidR="00BE61EA" w:rsidRPr="001418B7">
        <w:rPr>
          <w:sz w:val="26"/>
          <w:lang w:val="en-CA"/>
        </w:rPr>
        <w:t>given</w:t>
      </w:r>
      <w:r w:rsidR="00910A1E">
        <w:rPr>
          <w:sz w:val="26"/>
          <w:lang w:val="en-CA"/>
        </w:rPr>
        <w:t xml:space="preserve"> to him</w:t>
      </w:r>
      <w:r w:rsidR="00AB1E24">
        <w:rPr>
          <w:sz w:val="26"/>
          <w:lang w:val="en-CA"/>
        </w:rPr>
        <w:t xml:space="preserve"> </w:t>
      </w:r>
      <w:r w:rsidR="00832EFC" w:rsidRPr="001418B7">
        <w:rPr>
          <w:sz w:val="26"/>
          <w:lang w:val="en-CA"/>
        </w:rPr>
        <w:t>simply</w:t>
      </w:r>
      <w:r w:rsidR="00DE58D3" w:rsidRPr="001418B7">
        <w:rPr>
          <w:sz w:val="26"/>
          <w:lang w:val="en-CA"/>
        </w:rPr>
        <w:t xml:space="preserve"> </w:t>
      </w:r>
      <w:r w:rsidR="00446262" w:rsidRPr="001418B7">
        <w:rPr>
          <w:sz w:val="26"/>
          <w:lang w:val="en-CA"/>
        </w:rPr>
        <w:t>reflects</w:t>
      </w:r>
      <w:r w:rsidR="009C3C38" w:rsidRPr="001418B7">
        <w:rPr>
          <w:sz w:val="26"/>
          <w:lang w:val="en-CA"/>
        </w:rPr>
        <w:t xml:space="preserve"> the fact</w:t>
      </w:r>
      <w:r w:rsidR="00DE58D3" w:rsidRPr="001418B7">
        <w:rPr>
          <w:sz w:val="26"/>
          <w:lang w:val="en-CA"/>
        </w:rPr>
        <w:t>u</w:t>
      </w:r>
      <w:r w:rsidR="00B26F2F" w:rsidRPr="001418B7">
        <w:rPr>
          <w:sz w:val="26"/>
          <w:lang w:val="en-CA"/>
        </w:rPr>
        <w:t>al findings this</w:t>
      </w:r>
      <w:r w:rsidR="00832EFC" w:rsidRPr="001418B7">
        <w:rPr>
          <w:sz w:val="26"/>
          <w:lang w:val="en-CA"/>
        </w:rPr>
        <w:t xml:space="preserve"> court </w:t>
      </w:r>
      <w:r w:rsidR="00D8089A" w:rsidRPr="001418B7">
        <w:rPr>
          <w:sz w:val="26"/>
          <w:lang w:val="en-CA"/>
        </w:rPr>
        <w:t>made in its</w:t>
      </w:r>
      <w:r w:rsidR="009C3C38" w:rsidRPr="001418B7">
        <w:rPr>
          <w:sz w:val="26"/>
          <w:lang w:val="en-CA"/>
        </w:rPr>
        <w:t xml:space="preserve"> </w:t>
      </w:r>
      <w:r w:rsidR="00DE58D3" w:rsidRPr="001418B7">
        <w:rPr>
          <w:sz w:val="26"/>
          <w:lang w:val="en-CA"/>
        </w:rPr>
        <w:t xml:space="preserve">reasons for </w:t>
      </w:r>
      <w:r w:rsidR="009C3C38" w:rsidRPr="001418B7">
        <w:rPr>
          <w:sz w:val="26"/>
          <w:lang w:val="en-CA"/>
        </w:rPr>
        <w:t>judgme</w:t>
      </w:r>
      <w:r w:rsidR="0018344A">
        <w:rPr>
          <w:sz w:val="26"/>
          <w:lang w:val="en-CA"/>
        </w:rPr>
        <w:t>nt.</w:t>
      </w:r>
      <w:r w:rsidR="00EF687F">
        <w:rPr>
          <w:sz w:val="26"/>
          <w:lang w:val="en-CA"/>
        </w:rPr>
        <w:t xml:space="preserve"> </w:t>
      </w:r>
      <w:r w:rsidR="009C3C38" w:rsidRPr="001418B7">
        <w:rPr>
          <w:sz w:val="26"/>
          <w:lang w:val="en-CA"/>
        </w:rPr>
        <w:t xml:space="preserve">I </w:t>
      </w:r>
      <w:r w:rsidR="0018344A">
        <w:rPr>
          <w:sz w:val="26"/>
          <w:lang w:val="en-CA"/>
        </w:rPr>
        <w:t>do</w:t>
      </w:r>
      <w:r w:rsidR="00BD1FA8" w:rsidRPr="001418B7">
        <w:rPr>
          <w:sz w:val="26"/>
          <w:lang w:val="en-CA"/>
        </w:rPr>
        <w:t xml:space="preserve"> </w:t>
      </w:r>
      <w:r w:rsidR="00EF687F">
        <w:rPr>
          <w:sz w:val="26"/>
          <w:lang w:val="en-CA"/>
        </w:rPr>
        <w:t xml:space="preserve">wish to be </w:t>
      </w:r>
      <w:r w:rsidR="009C3C38" w:rsidRPr="001418B7">
        <w:rPr>
          <w:sz w:val="26"/>
          <w:lang w:val="en-CA"/>
        </w:rPr>
        <w:t xml:space="preserve">clear </w:t>
      </w:r>
      <w:r w:rsidR="00A66656" w:rsidRPr="001418B7">
        <w:rPr>
          <w:sz w:val="26"/>
          <w:lang w:val="en-CA"/>
        </w:rPr>
        <w:t xml:space="preserve">that Mr. Livingston </w:t>
      </w:r>
      <w:r w:rsidR="006171BE">
        <w:rPr>
          <w:sz w:val="26"/>
          <w:lang w:val="en-CA"/>
        </w:rPr>
        <w:t>should not</w:t>
      </w:r>
      <w:r w:rsidR="0057378A" w:rsidRPr="001418B7">
        <w:rPr>
          <w:sz w:val="26"/>
          <w:lang w:val="en-CA"/>
        </w:rPr>
        <w:t xml:space="preserve"> and </w:t>
      </w:r>
      <w:r w:rsidR="00A66656" w:rsidRPr="001418B7">
        <w:rPr>
          <w:sz w:val="26"/>
          <w:lang w:val="en-CA"/>
        </w:rPr>
        <w:t>will not be</w:t>
      </w:r>
      <w:r w:rsidR="009C3C38" w:rsidRPr="001418B7">
        <w:rPr>
          <w:sz w:val="26"/>
          <w:lang w:val="en-CA"/>
        </w:rPr>
        <w:t xml:space="preserve"> sentenced as if</w:t>
      </w:r>
      <w:r w:rsidR="006171BE">
        <w:rPr>
          <w:sz w:val="26"/>
          <w:lang w:val="en-CA"/>
        </w:rPr>
        <w:t xml:space="preserve"> he had been found guilty of </w:t>
      </w:r>
      <w:r w:rsidR="00D92035" w:rsidRPr="001418B7">
        <w:rPr>
          <w:sz w:val="26"/>
          <w:lang w:val="en-CA"/>
        </w:rPr>
        <w:t>Breach of Trust by a Public O</w:t>
      </w:r>
      <w:r w:rsidR="009C3C38" w:rsidRPr="001418B7">
        <w:rPr>
          <w:sz w:val="26"/>
          <w:lang w:val="en-CA"/>
        </w:rPr>
        <w:t>fficer</w:t>
      </w:r>
      <w:r w:rsidR="008C0AAA" w:rsidRPr="001418B7">
        <w:rPr>
          <w:sz w:val="26"/>
          <w:lang w:val="en-CA"/>
        </w:rPr>
        <w:t>. That is a</w:t>
      </w:r>
      <w:r w:rsidR="006E16E2" w:rsidRPr="001418B7">
        <w:rPr>
          <w:sz w:val="26"/>
          <w:lang w:val="en-CA"/>
        </w:rPr>
        <w:t xml:space="preserve"> far more serious offe</w:t>
      </w:r>
      <w:r w:rsidR="00EF687F">
        <w:rPr>
          <w:sz w:val="26"/>
          <w:lang w:val="en-CA"/>
        </w:rPr>
        <w:t>nce than the one for which he was found guilt</w:t>
      </w:r>
      <w:r w:rsidR="001E3874">
        <w:rPr>
          <w:sz w:val="26"/>
          <w:lang w:val="en-CA"/>
        </w:rPr>
        <w:t>y,</w:t>
      </w:r>
      <w:r w:rsidR="00D54C4E" w:rsidRPr="001418B7">
        <w:rPr>
          <w:sz w:val="26"/>
          <w:lang w:val="en-CA"/>
        </w:rPr>
        <w:t xml:space="preserve"> and would require a</w:t>
      </w:r>
      <w:r w:rsidR="00554556">
        <w:rPr>
          <w:sz w:val="26"/>
          <w:lang w:val="en-CA"/>
        </w:rPr>
        <w:t xml:space="preserve"> far</w:t>
      </w:r>
      <w:r w:rsidR="00BF09D2" w:rsidRPr="001418B7">
        <w:rPr>
          <w:sz w:val="26"/>
          <w:lang w:val="en-CA"/>
        </w:rPr>
        <w:t xml:space="preserve"> more severe sentence than I intend to impose.</w:t>
      </w:r>
    </w:p>
    <w:p w:rsidR="00773F60" w:rsidRPr="001418B7" w:rsidRDefault="00EA741C" w:rsidP="00064348">
      <w:pPr>
        <w:pStyle w:val="MAINPARAGRAPH"/>
        <w:numPr>
          <w:ilvl w:val="0"/>
          <w:numId w:val="0"/>
        </w:numPr>
        <w:rPr>
          <w:b/>
          <w:sz w:val="26"/>
          <w:lang w:val="en-CA"/>
        </w:rPr>
      </w:pPr>
      <w:r w:rsidRPr="001418B7">
        <w:rPr>
          <w:b/>
          <w:sz w:val="26"/>
          <w:lang w:val="en-CA"/>
        </w:rPr>
        <w:t>3</w:t>
      </w:r>
      <w:r w:rsidR="006C3EC0">
        <w:rPr>
          <w:b/>
          <w:sz w:val="26"/>
          <w:lang w:val="en-CA"/>
        </w:rPr>
        <w:t>. The offence involved planning and deliberation</w:t>
      </w:r>
    </w:p>
    <w:p w:rsidR="006C0985" w:rsidRPr="001418B7" w:rsidRDefault="0015709E" w:rsidP="0067505C">
      <w:pPr>
        <w:pStyle w:val="MAINPARAGRAPH"/>
        <w:rPr>
          <w:b/>
          <w:sz w:val="26"/>
          <w:lang w:val="en-CA"/>
        </w:rPr>
      </w:pPr>
      <w:r>
        <w:rPr>
          <w:sz w:val="26"/>
          <w:lang w:val="en-CA"/>
        </w:rPr>
        <w:t>The evidence established</w:t>
      </w:r>
      <w:r w:rsidR="00EC5C9F" w:rsidRPr="001418B7">
        <w:rPr>
          <w:sz w:val="26"/>
          <w:lang w:val="en-CA"/>
        </w:rPr>
        <w:t xml:space="preserve"> that Mr. Livin</w:t>
      </w:r>
      <w:r w:rsidR="00AF109D" w:rsidRPr="001418B7">
        <w:rPr>
          <w:sz w:val="26"/>
          <w:lang w:val="en-CA"/>
        </w:rPr>
        <w:t>gston engaged in sophisticated and careful planning to eli</w:t>
      </w:r>
      <w:r w:rsidR="0057378A" w:rsidRPr="001418B7">
        <w:rPr>
          <w:sz w:val="26"/>
          <w:lang w:val="en-CA"/>
        </w:rPr>
        <w:t>minate retainable work records</w:t>
      </w:r>
      <w:r w:rsidR="00F56948">
        <w:rPr>
          <w:sz w:val="26"/>
          <w:lang w:val="en-CA"/>
        </w:rPr>
        <w:t xml:space="preserve"> shortly after he became Chief of Staff. </w:t>
      </w:r>
      <w:r w:rsidR="00943FE1">
        <w:rPr>
          <w:sz w:val="26"/>
          <w:lang w:val="en-CA"/>
        </w:rPr>
        <w:t>It was in</w:t>
      </w:r>
      <w:r w:rsidR="00D07266" w:rsidRPr="001418B7">
        <w:rPr>
          <w:sz w:val="26"/>
          <w:lang w:val="en-CA"/>
        </w:rPr>
        <w:t xml:space="preserve"> August 2012</w:t>
      </w:r>
      <w:r w:rsidR="00943FE1">
        <w:rPr>
          <w:sz w:val="26"/>
          <w:lang w:val="en-CA"/>
        </w:rPr>
        <w:t xml:space="preserve"> that</w:t>
      </w:r>
      <w:r w:rsidR="00D07266" w:rsidRPr="001418B7">
        <w:rPr>
          <w:sz w:val="26"/>
          <w:lang w:val="en-CA"/>
        </w:rPr>
        <w:t xml:space="preserve"> </w:t>
      </w:r>
      <w:r w:rsidR="00451873" w:rsidRPr="001418B7">
        <w:rPr>
          <w:sz w:val="26"/>
          <w:lang w:val="en-CA"/>
        </w:rPr>
        <w:t>the defendant</w:t>
      </w:r>
      <w:r w:rsidR="0057378A" w:rsidRPr="001418B7">
        <w:rPr>
          <w:sz w:val="26"/>
          <w:lang w:val="en-CA"/>
        </w:rPr>
        <w:t xml:space="preserve"> </w:t>
      </w:r>
      <w:r w:rsidR="00BE61EA" w:rsidRPr="001418B7">
        <w:rPr>
          <w:sz w:val="26"/>
          <w:lang w:val="en-CA"/>
        </w:rPr>
        <w:t>instructed his deputy chiefs of staff</w:t>
      </w:r>
      <w:r w:rsidR="00D07266" w:rsidRPr="001418B7">
        <w:rPr>
          <w:sz w:val="26"/>
          <w:lang w:val="en-CA"/>
        </w:rPr>
        <w:t xml:space="preserve"> to permanently delete</w:t>
      </w:r>
      <w:r w:rsidR="00B3277D" w:rsidRPr="001418B7">
        <w:rPr>
          <w:sz w:val="26"/>
          <w:lang w:val="en-CA"/>
        </w:rPr>
        <w:t xml:space="preserve"> </w:t>
      </w:r>
      <w:r w:rsidR="00580066">
        <w:rPr>
          <w:sz w:val="26"/>
          <w:lang w:val="en-CA"/>
        </w:rPr>
        <w:t>e-mail</w:t>
      </w:r>
      <w:r w:rsidR="00B3277D" w:rsidRPr="001418B7">
        <w:rPr>
          <w:sz w:val="26"/>
          <w:lang w:val="en-CA"/>
        </w:rPr>
        <w:t xml:space="preserve">s that were potentially responsive to </w:t>
      </w:r>
      <w:r w:rsidR="00D8089A" w:rsidRPr="001418B7">
        <w:rPr>
          <w:i/>
          <w:sz w:val="26"/>
          <w:lang w:val="en-CA"/>
        </w:rPr>
        <w:t>FOI</w:t>
      </w:r>
      <w:r w:rsidR="00B3277D" w:rsidRPr="001418B7">
        <w:rPr>
          <w:sz w:val="26"/>
          <w:lang w:val="en-CA"/>
        </w:rPr>
        <w:t xml:space="preserve"> requests or </w:t>
      </w:r>
      <w:r w:rsidR="004D50F0" w:rsidRPr="001418B7">
        <w:rPr>
          <w:sz w:val="26"/>
          <w:lang w:val="en-CA"/>
        </w:rPr>
        <w:t xml:space="preserve">which could be business records required to be retained under the </w:t>
      </w:r>
      <w:r w:rsidR="00BD50AF" w:rsidRPr="001418B7">
        <w:rPr>
          <w:i/>
          <w:sz w:val="26"/>
          <w:lang w:val="en-CA"/>
        </w:rPr>
        <w:t>Premier’s</w:t>
      </w:r>
      <w:r w:rsidR="004D50F0" w:rsidRPr="001418B7">
        <w:rPr>
          <w:i/>
          <w:sz w:val="26"/>
          <w:lang w:val="en-CA"/>
        </w:rPr>
        <w:t xml:space="preserve"> Office Records Schedule</w:t>
      </w:r>
      <w:r w:rsidR="00AB0E02" w:rsidRPr="001418B7">
        <w:rPr>
          <w:sz w:val="26"/>
          <w:lang w:val="en-CA"/>
        </w:rPr>
        <w:t xml:space="preserve">. </w:t>
      </w:r>
    </w:p>
    <w:p w:rsidR="0060775C" w:rsidRPr="001418B7" w:rsidRDefault="00AB0E02" w:rsidP="0067505C">
      <w:pPr>
        <w:pStyle w:val="MAINPARAGRAPH"/>
        <w:rPr>
          <w:b/>
          <w:sz w:val="26"/>
          <w:lang w:val="en-CA"/>
        </w:rPr>
      </w:pPr>
      <w:r w:rsidRPr="001418B7">
        <w:rPr>
          <w:sz w:val="26"/>
          <w:lang w:val="en-CA"/>
        </w:rPr>
        <w:t xml:space="preserve">By early 2013, </w:t>
      </w:r>
      <w:r w:rsidRPr="001418B7">
        <w:rPr>
          <w:i/>
          <w:sz w:val="26"/>
          <w:lang w:val="en-CA"/>
        </w:rPr>
        <w:t>FOI</w:t>
      </w:r>
      <w:r w:rsidRPr="001418B7">
        <w:rPr>
          <w:sz w:val="26"/>
          <w:lang w:val="en-CA"/>
        </w:rPr>
        <w:t xml:space="preserve"> requests existed and were directed to the OPO for gas plant</w:t>
      </w:r>
      <w:r w:rsidR="0032441D" w:rsidRPr="001418B7">
        <w:rPr>
          <w:sz w:val="26"/>
          <w:lang w:val="en-CA"/>
        </w:rPr>
        <w:t xml:space="preserve"> records. </w:t>
      </w:r>
      <w:r w:rsidR="006C0985" w:rsidRPr="001418B7">
        <w:rPr>
          <w:sz w:val="26"/>
          <w:lang w:val="en-CA"/>
        </w:rPr>
        <w:t>However, i</w:t>
      </w:r>
      <w:r w:rsidR="0032441D" w:rsidRPr="001418B7">
        <w:rPr>
          <w:sz w:val="26"/>
          <w:lang w:val="en-CA"/>
        </w:rPr>
        <w:t>nstead of ensuring</w:t>
      </w:r>
      <w:r w:rsidRPr="001418B7">
        <w:rPr>
          <w:sz w:val="26"/>
          <w:lang w:val="en-CA"/>
        </w:rPr>
        <w:t xml:space="preserve"> careful searches of OPO computers</w:t>
      </w:r>
      <w:r w:rsidR="0032441D" w:rsidRPr="001418B7">
        <w:rPr>
          <w:sz w:val="26"/>
          <w:lang w:val="en-CA"/>
        </w:rPr>
        <w:t xml:space="preserve"> be done</w:t>
      </w:r>
      <w:r w:rsidRPr="001418B7">
        <w:rPr>
          <w:sz w:val="26"/>
          <w:lang w:val="en-CA"/>
        </w:rPr>
        <w:t xml:space="preserve"> for any </w:t>
      </w:r>
      <w:r w:rsidR="006171BE">
        <w:rPr>
          <w:sz w:val="26"/>
          <w:lang w:val="en-CA"/>
        </w:rPr>
        <w:t xml:space="preserve">responsive </w:t>
      </w:r>
      <w:r w:rsidRPr="001418B7">
        <w:rPr>
          <w:sz w:val="26"/>
          <w:lang w:val="en-CA"/>
        </w:rPr>
        <w:t>reco</w:t>
      </w:r>
      <w:r w:rsidR="00AC6E57" w:rsidRPr="001418B7">
        <w:rPr>
          <w:sz w:val="26"/>
          <w:lang w:val="en-CA"/>
        </w:rPr>
        <w:t>rd</w:t>
      </w:r>
      <w:r w:rsidR="006C2660">
        <w:rPr>
          <w:sz w:val="26"/>
          <w:lang w:val="en-CA"/>
        </w:rPr>
        <w:t>s, Mr. Livingston</w:t>
      </w:r>
      <w:r w:rsidR="00052162">
        <w:rPr>
          <w:sz w:val="26"/>
          <w:lang w:val="en-CA"/>
        </w:rPr>
        <w:t xml:space="preserve"> was</w:t>
      </w:r>
      <w:r w:rsidRPr="001418B7">
        <w:rPr>
          <w:sz w:val="26"/>
          <w:lang w:val="en-CA"/>
        </w:rPr>
        <w:t xml:space="preserve"> arranging for the indiscriminate</w:t>
      </w:r>
      <w:r w:rsidR="00546052" w:rsidRPr="001418B7">
        <w:rPr>
          <w:sz w:val="26"/>
          <w:lang w:val="en-CA"/>
        </w:rPr>
        <w:t xml:space="preserve"> wiping of OPO computer hard drives that potentially contain</w:t>
      </w:r>
      <w:r w:rsidR="0015709E">
        <w:rPr>
          <w:sz w:val="26"/>
          <w:lang w:val="en-CA"/>
        </w:rPr>
        <w:t>ed such records. At that</w:t>
      </w:r>
      <w:r w:rsidR="001C55D0" w:rsidRPr="001418B7">
        <w:rPr>
          <w:sz w:val="26"/>
          <w:lang w:val="en-CA"/>
        </w:rPr>
        <w:t xml:space="preserve"> time</w:t>
      </w:r>
      <w:r w:rsidR="0086196F">
        <w:rPr>
          <w:sz w:val="26"/>
          <w:lang w:val="en-CA"/>
        </w:rPr>
        <w:t>,</w:t>
      </w:r>
      <w:r w:rsidR="001C55D0" w:rsidRPr="001418B7">
        <w:rPr>
          <w:sz w:val="26"/>
          <w:lang w:val="en-CA"/>
        </w:rPr>
        <w:t xml:space="preserve"> Mr. Livingston</w:t>
      </w:r>
      <w:r w:rsidR="00546052" w:rsidRPr="001418B7">
        <w:rPr>
          <w:sz w:val="26"/>
          <w:lang w:val="en-CA"/>
        </w:rPr>
        <w:t xml:space="preserve"> was also awar</w:t>
      </w:r>
      <w:r w:rsidR="0015709E">
        <w:rPr>
          <w:sz w:val="26"/>
          <w:lang w:val="en-CA"/>
        </w:rPr>
        <w:t xml:space="preserve">e of the likelihood of a </w:t>
      </w:r>
      <w:r w:rsidR="00546052" w:rsidRPr="001418B7">
        <w:rPr>
          <w:sz w:val="26"/>
          <w:lang w:val="en-CA"/>
        </w:rPr>
        <w:t>Standing Committee Production Order</w:t>
      </w:r>
      <w:r w:rsidR="001C55D0" w:rsidRPr="001418B7">
        <w:rPr>
          <w:sz w:val="26"/>
          <w:lang w:val="en-CA"/>
        </w:rPr>
        <w:t xml:space="preserve"> for gas plant records</w:t>
      </w:r>
      <w:r w:rsidR="000E481A" w:rsidRPr="001418B7">
        <w:rPr>
          <w:sz w:val="26"/>
          <w:lang w:val="en-CA"/>
        </w:rPr>
        <w:t xml:space="preserve"> being made in</w:t>
      </w:r>
      <w:r w:rsidR="004B7FDC" w:rsidRPr="001418B7">
        <w:rPr>
          <w:sz w:val="26"/>
          <w:lang w:val="en-CA"/>
        </w:rPr>
        <w:t xml:space="preserve"> the next session of the Legislature. He </w:t>
      </w:r>
      <w:r w:rsidR="00451873" w:rsidRPr="001418B7">
        <w:rPr>
          <w:sz w:val="26"/>
          <w:lang w:val="en-CA"/>
        </w:rPr>
        <w:t xml:space="preserve">also </w:t>
      </w:r>
      <w:r w:rsidR="00395024" w:rsidRPr="001418B7">
        <w:rPr>
          <w:sz w:val="26"/>
          <w:lang w:val="en-CA"/>
        </w:rPr>
        <w:t xml:space="preserve">knew </w:t>
      </w:r>
      <w:r w:rsidR="00451873" w:rsidRPr="001418B7">
        <w:rPr>
          <w:sz w:val="26"/>
          <w:lang w:val="en-CA"/>
        </w:rPr>
        <w:t>that he would very likely be</w:t>
      </w:r>
      <w:r w:rsidR="004B7FDC" w:rsidRPr="001418B7">
        <w:rPr>
          <w:sz w:val="26"/>
          <w:lang w:val="en-CA"/>
        </w:rPr>
        <w:t xml:space="preserve"> called as a witness at a future Standing Committee hearing on the gas plant controversy</w:t>
      </w:r>
      <w:r w:rsidR="000E481A" w:rsidRPr="001418B7">
        <w:rPr>
          <w:sz w:val="26"/>
          <w:lang w:val="en-CA"/>
        </w:rPr>
        <w:t xml:space="preserve">. </w:t>
      </w:r>
    </w:p>
    <w:p w:rsidR="00934B59" w:rsidRDefault="00943FE1" w:rsidP="00934B59">
      <w:pPr>
        <w:pStyle w:val="MAINPARAGRAPH"/>
        <w:rPr>
          <w:b/>
          <w:sz w:val="26"/>
          <w:lang w:val="en-CA"/>
        </w:rPr>
      </w:pPr>
      <w:r>
        <w:rPr>
          <w:sz w:val="26"/>
          <w:lang w:val="en-CA"/>
        </w:rPr>
        <w:t>Subsequently</w:t>
      </w:r>
      <w:r w:rsidR="000E481A" w:rsidRPr="001418B7">
        <w:rPr>
          <w:sz w:val="26"/>
          <w:lang w:val="en-CA"/>
        </w:rPr>
        <w:t xml:space="preserve">, in order </w:t>
      </w:r>
      <w:r w:rsidR="00BD50AF" w:rsidRPr="001418B7">
        <w:rPr>
          <w:sz w:val="26"/>
          <w:lang w:val="en-CA"/>
        </w:rPr>
        <w:t>to eliminate retainable records</w:t>
      </w:r>
      <w:r w:rsidR="000E481A" w:rsidRPr="001418B7">
        <w:rPr>
          <w:sz w:val="26"/>
          <w:lang w:val="en-CA"/>
        </w:rPr>
        <w:t>,</w:t>
      </w:r>
      <w:r w:rsidR="00A4511E" w:rsidRPr="001418B7">
        <w:rPr>
          <w:sz w:val="26"/>
          <w:lang w:val="en-CA"/>
        </w:rPr>
        <w:t xml:space="preserve"> Mr. Livingston deceived </w:t>
      </w:r>
      <w:r w:rsidR="00395024" w:rsidRPr="001418B7">
        <w:rPr>
          <w:sz w:val="26"/>
          <w:lang w:val="en-CA"/>
        </w:rPr>
        <w:t>the Secretary of Cabinet into</w:t>
      </w:r>
      <w:r w:rsidR="00A917F4" w:rsidRPr="001418B7">
        <w:rPr>
          <w:sz w:val="26"/>
          <w:lang w:val="en-CA"/>
        </w:rPr>
        <w:t xml:space="preserve"> granting him</w:t>
      </w:r>
      <w:r w:rsidR="00664D4C" w:rsidRPr="001418B7">
        <w:rPr>
          <w:sz w:val="26"/>
          <w:lang w:val="en-CA"/>
        </w:rPr>
        <w:t xml:space="preserve"> administrative rights t</w:t>
      </w:r>
      <w:r w:rsidR="000777A7">
        <w:rPr>
          <w:sz w:val="26"/>
          <w:lang w:val="en-CA"/>
        </w:rPr>
        <w:t xml:space="preserve">o OPO computers. </w:t>
      </w:r>
      <w:r w:rsidR="006A0D78">
        <w:rPr>
          <w:sz w:val="26"/>
          <w:lang w:val="en-CA"/>
        </w:rPr>
        <w:t>He also involved Ms. Miller and another</w:t>
      </w:r>
      <w:r w:rsidR="002B1822">
        <w:rPr>
          <w:sz w:val="26"/>
          <w:lang w:val="en-CA"/>
        </w:rPr>
        <w:t xml:space="preserve"> Depu</w:t>
      </w:r>
      <w:r w:rsidR="00CB0EA6">
        <w:rPr>
          <w:sz w:val="26"/>
          <w:lang w:val="en-CA"/>
        </w:rPr>
        <w:t>ty Chief of Staff in</w:t>
      </w:r>
      <w:r w:rsidR="006A0D78">
        <w:rPr>
          <w:sz w:val="26"/>
          <w:lang w:val="en-CA"/>
        </w:rPr>
        <w:t xml:space="preserve"> </w:t>
      </w:r>
      <w:r w:rsidR="00CB0EA6">
        <w:rPr>
          <w:sz w:val="26"/>
          <w:lang w:val="en-CA"/>
        </w:rPr>
        <w:t>recruiting and</w:t>
      </w:r>
      <w:r w:rsidR="006A0D78">
        <w:rPr>
          <w:sz w:val="26"/>
          <w:lang w:val="en-CA"/>
        </w:rPr>
        <w:t xml:space="preserve"> </w:t>
      </w:r>
      <w:r w:rsidR="00CB0EA6">
        <w:rPr>
          <w:sz w:val="26"/>
          <w:lang w:val="en-CA"/>
        </w:rPr>
        <w:t>paying Mr</w:t>
      </w:r>
      <w:r w:rsidR="006A0D78">
        <w:rPr>
          <w:sz w:val="26"/>
          <w:lang w:val="en-CA"/>
        </w:rPr>
        <w:t xml:space="preserve">. Faist to wipe </w:t>
      </w:r>
      <w:r w:rsidR="002F1EED">
        <w:rPr>
          <w:sz w:val="26"/>
          <w:lang w:val="en-CA"/>
        </w:rPr>
        <w:t>the</w:t>
      </w:r>
      <w:r w:rsidR="002B1822">
        <w:rPr>
          <w:sz w:val="26"/>
          <w:lang w:val="en-CA"/>
        </w:rPr>
        <w:t xml:space="preserve"> hard drives. </w:t>
      </w:r>
      <w:r w:rsidR="000777A7">
        <w:rPr>
          <w:sz w:val="26"/>
          <w:lang w:val="en-CA"/>
        </w:rPr>
        <w:t>The</w:t>
      </w:r>
      <w:r w:rsidR="00A4511E" w:rsidRPr="001418B7">
        <w:rPr>
          <w:sz w:val="26"/>
          <w:lang w:val="en-CA"/>
        </w:rPr>
        <w:t xml:space="preserve"> obvious</w:t>
      </w:r>
      <w:r w:rsidR="00B664FD" w:rsidRPr="001418B7">
        <w:rPr>
          <w:sz w:val="26"/>
          <w:lang w:val="en-CA"/>
        </w:rPr>
        <w:t xml:space="preserve"> planning and deliberation i</w:t>
      </w:r>
      <w:r w:rsidR="00584B52" w:rsidRPr="001418B7">
        <w:rPr>
          <w:sz w:val="26"/>
          <w:lang w:val="en-CA"/>
        </w:rPr>
        <w:t xml:space="preserve">nvolved in </w:t>
      </w:r>
      <w:r w:rsidR="001C32FD">
        <w:rPr>
          <w:sz w:val="26"/>
          <w:lang w:val="en-CA"/>
        </w:rPr>
        <w:t xml:space="preserve">the commission of the offence </w:t>
      </w:r>
      <w:r w:rsidR="00B664FD" w:rsidRPr="001418B7">
        <w:rPr>
          <w:sz w:val="26"/>
          <w:lang w:val="en-CA"/>
        </w:rPr>
        <w:t>constitute</w:t>
      </w:r>
      <w:r w:rsidR="0086196F">
        <w:rPr>
          <w:sz w:val="26"/>
          <w:lang w:val="en-CA"/>
        </w:rPr>
        <w:t>s</w:t>
      </w:r>
      <w:r w:rsidR="00B664FD" w:rsidRPr="001418B7">
        <w:rPr>
          <w:sz w:val="26"/>
          <w:lang w:val="en-CA"/>
        </w:rPr>
        <w:t xml:space="preserve"> an agg</w:t>
      </w:r>
      <w:r w:rsidR="00A917F4" w:rsidRPr="001418B7">
        <w:rPr>
          <w:sz w:val="26"/>
          <w:lang w:val="en-CA"/>
        </w:rPr>
        <w:t xml:space="preserve">ravating factor in the determination of </w:t>
      </w:r>
      <w:r w:rsidR="00532D01" w:rsidRPr="001418B7">
        <w:rPr>
          <w:sz w:val="26"/>
          <w:lang w:val="en-CA"/>
        </w:rPr>
        <w:t>a fit</w:t>
      </w:r>
      <w:r w:rsidR="00B664FD" w:rsidRPr="001418B7">
        <w:rPr>
          <w:sz w:val="26"/>
          <w:lang w:val="en-CA"/>
        </w:rPr>
        <w:t xml:space="preserve"> sentence.</w:t>
      </w:r>
    </w:p>
    <w:p w:rsidR="006068C6" w:rsidRPr="00934B59" w:rsidRDefault="00934B59" w:rsidP="00934B59">
      <w:pPr>
        <w:pStyle w:val="MAINPARAGRAPH"/>
        <w:numPr>
          <w:ilvl w:val="0"/>
          <w:numId w:val="0"/>
        </w:numPr>
        <w:rPr>
          <w:b/>
          <w:sz w:val="26"/>
          <w:lang w:val="en-CA"/>
        </w:rPr>
      </w:pPr>
      <w:r w:rsidRPr="00934B59">
        <w:rPr>
          <w:b/>
          <w:sz w:val="26"/>
          <w:lang w:val="en-CA"/>
        </w:rPr>
        <w:t>Mitigating Factors</w:t>
      </w:r>
    </w:p>
    <w:p w:rsidR="00C95EF5" w:rsidRPr="001418B7" w:rsidRDefault="006068C6" w:rsidP="006068C6">
      <w:pPr>
        <w:pStyle w:val="MAINPARAGRAPH"/>
        <w:numPr>
          <w:ilvl w:val="0"/>
          <w:numId w:val="0"/>
        </w:numPr>
        <w:rPr>
          <w:b/>
          <w:sz w:val="26"/>
          <w:lang w:val="en-CA"/>
        </w:rPr>
      </w:pPr>
      <w:r w:rsidRPr="001418B7">
        <w:rPr>
          <w:b/>
          <w:sz w:val="26"/>
          <w:lang w:val="en-CA"/>
        </w:rPr>
        <w:t xml:space="preserve">1. </w:t>
      </w:r>
      <w:r w:rsidR="00425984" w:rsidRPr="001418B7">
        <w:rPr>
          <w:b/>
          <w:sz w:val="26"/>
          <w:lang w:val="en-CA"/>
        </w:rPr>
        <w:t>Previous Good Character</w:t>
      </w:r>
    </w:p>
    <w:p w:rsidR="00425984" w:rsidRPr="001418B7" w:rsidRDefault="00015C9A" w:rsidP="0067505C">
      <w:pPr>
        <w:pStyle w:val="MAINPARAGRAPH"/>
        <w:rPr>
          <w:b/>
          <w:sz w:val="26"/>
          <w:lang w:val="en-CA"/>
        </w:rPr>
      </w:pPr>
      <w:r w:rsidRPr="001418B7">
        <w:rPr>
          <w:sz w:val="26"/>
          <w:lang w:val="en-CA"/>
        </w:rPr>
        <w:t>I am sat</w:t>
      </w:r>
      <w:r w:rsidR="00934B59">
        <w:rPr>
          <w:sz w:val="26"/>
          <w:lang w:val="en-CA"/>
        </w:rPr>
        <w:t>isfied on the evidence</w:t>
      </w:r>
      <w:r w:rsidR="00953019" w:rsidRPr="001418B7">
        <w:rPr>
          <w:sz w:val="26"/>
          <w:lang w:val="en-CA"/>
        </w:rPr>
        <w:t xml:space="preserve"> that</w:t>
      </w:r>
      <w:r w:rsidR="001A73EA" w:rsidRPr="001418B7">
        <w:rPr>
          <w:sz w:val="26"/>
          <w:lang w:val="en-CA"/>
        </w:rPr>
        <w:t xml:space="preserve"> the offence is out of character</w:t>
      </w:r>
      <w:r w:rsidR="007F568E" w:rsidRPr="001418B7">
        <w:rPr>
          <w:sz w:val="26"/>
          <w:lang w:val="en-CA"/>
        </w:rPr>
        <w:t xml:space="preserve"> for the defendant</w:t>
      </w:r>
      <w:r w:rsidR="001A73EA" w:rsidRPr="001418B7">
        <w:rPr>
          <w:sz w:val="26"/>
          <w:lang w:val="en-CA"/>
        </w:rPr>
        <w:t xml:space="preserve">. Mr. Livingston’s previous good character and his exceptional contributions to the community </w:t>
      </w:r>
      <w:r w:rsidR="00970673" w:rsidRPr="001418B7">
        <w:rPr>
          <w:sz w:val="26"/>
          <w:lang w:val="en-CA"/>
        </w:rPr>
        <w:t>must be take</w:t>
      </w:r>
      <w:r w:rsidR="00931C68">
        <w:rPr>
          <w:sz w:val="26"/>
          <w:lang w:val="en-CA"/>
        </w:rPr>
        <w:t xml:space="preserve">n into account </w:t>
      </w:r>
      <w:r w:rsidR="00970673" w:rsidRPr="001418B7">
        <w:rPr>
          <w:sz w:val="26"/>
          <w:lang w:val="en-CA"/>
        </w:rPr>
        <w:t>in mitigation of sentence.</w:t>
      </w:r>
    </w:p>
    <w:p w:rsidR="00DE4B2D" w:rsidRPr="001418B7" w:rsidRDefault="005A2014" w:rsidP="0067505C">
      <w:pPr>
        <w:pStyle w:val="MAINPARAGRAPH"/>
        <w:rPr>
          <w:b/>
          <w:sz w:val="26"/>
          <w:lang w:val="en-CA"/>
        </w:rPr>
      </w:pPr>
      <w:r w:rsidRPr="001418B7">
        <w:rPr>
          <w:sz w:val="26"/>
          <w:lang w:val="en-CA"/>
        </w:rPr>
        <w:t>While good character should be</w:t>
      </w:r>
      <w:r w:rsidR="0029504C" w:rsidRPr="001418B7">
        <w:rPr>
          <w:sz w:val="26"/>
          <w:lang w:val="en-CA"/>
        </w:rPr>
        <w:t xml:space="preserve"> and likely is</w:t>
      </w:r>
      <w:r w:rsidRPr="001418B7">
        <w:rPr>
          <w:sz w:val="26"/>
          <w:lang w:val="en-CA"/>
        </w:rPr>
        <w:t xml:space="preserve"> a </w:t>
      </w:r>
      <w:r w:rsidR="00384246" w:rsidRPr="001418B7">
        <w:rPr>
          <w:sz w:val="26"/>
          <w:lang w:val="en-CA"/>
        </w:rPr>
        <w:t>prerequisite</w:t>
      </w:r>
      <w:r w:rsidR="007F568E" w:rsidRPr="001418B7">
        <w:rPr>
          <w:sz w:val="26"/>
          <w:lang w:val="en-CA"/>
        </w:rPr>
        <w:t xml:space="preserve"> to beco</w:t>
      </w:r>
      <w:r w:rsidR="00934B59">
        <w:rPr>
          <w:sz w:val="26"/>
          <w:lang w:val="en-CA"/>
        </w:rPr>
        <w:t>me the Chief of Staff</w:t>
      </w:r>
      <w:r w:rsidR="00F763EC" w:rsidRPr="001418B7">
        <w:rPr>
          <w:sz w:val="26"/>
          <w:lang w:val="en-CA"/>
        </w:rPr>
        <w:t>, it cannot be said that Mr. Livingston</w:t>
      </w:r>
      <w:r w:rsidR="00384246" w:rsidRPr="001418B7">
        <w:rPr>
          <w:sz w:val="26"/>
          <w:lang w:val="en-CA"/>
        </w:rPr>
        <w:t xml:space="preserve"> </w:t>
      </w:r>
      <w:r w:rsidR="00CB4768" w:rsidRPr="001418B7">
        <w:rPr>
          <w:sz w:val="26"/>
          <w:lang w:val="en-CA"/>
        </w:rPr>
        <w:t>“</w:t>
      </w:r>
      <w:r w:rsidR="00384246" w:rsidRPr="001418B7">
        <w:rPr>
          <w:sz w:val="26"/>
          <w:lang w:val="en-CA"/>
        </w:rPr>
        <w:t>traded</w:t>
      </w:r>
      <w:r w:rsidR="00CB4768" w:rsidRPr="001418B7">
        <w:rPr>
          <w:sz w:val="26"/>
          <w:lang w:val="en-CA"/>
        </w:rPr>
        <w:t>”</w:t>
      </w:r>
      <w:r w:rsidR="00384246" w:rsidRPr="001418B7">
        <w:rPr>
          <w:sz w:val="26"/>
          <w:lang w:val="en-CA"/>
        </w:rPr>
        <w:t xml:space="preserve"> on his good character </w:t>
      </w:r>
      <w:r w:rsidR="00384246" w:rsidRPr="001418B7">
        <w:rPr>
          <w:sz w:val="26"/>
          <w:lang w:val="en-CA"/>
        </w:rPr>
        <w:lastRenderedPageBreak/>
        <w:t xml:space="preserve">to obtain administrative rights </w:t>
      </w:r>
      <w:r w:rsidR="00371164" w:rsidRPr="001418B7">
        <w:rPr>
          <w:sz w:val="26"/>
          <w:lang w:val="en-CA"/>
        </w:rPr>
        <w:t>from Mr. Wallace</w:t>
      </w:r>
      <w:r w:rsidR="0025543C">
        <w:rPr>
          <w:sz w:val="26"/>
          <w:lang w:val="en-CA"/>
        </w:rPr>
        <w:t>,</w:t>
      </w:r>
      <w:r w:rsidR="00D75C42" w:rsidRPr="001418B7">
        <w:rPr>
          <w:sz w:val="26"/>
          <w:lang w:val="en-CA"/>
        </w:rPr>
        <w:t xml:space="preserve"> as alleged by the Crown</w:t>
      </w:r>
      <w:r w:rsidR="00371164" w:rsidRPr="001418B7">
        <w:rPr>
          <w:sz w:val="26"/>
          <w:lang w:val="en-CA"/>
        </w:rPr>
        <w:t>.</w:t>
      </w:r>
      <w:r w:rsidR="00D75C42" w:rsidRPr="001418B7">
        <w:rPr>
          <w:sz w:val="26"/>
          <w:lang w:val="en-CA"/>
        </w:rPr>
        <w:t xml:space="preserve"> What the defendant </w:t>
      </w:r>
      <w:r w:rsidR="00F763EC" w:rsidRPr="001418B7">
        <w:rPr>
          <w:sz w:val="26"/>
          <w:lang w:val="en-CA"/>
        </w:rPr>
        <w:t>did</w:t>
      </w:r>
      <w:r w:rsidR="00D75C42" w:rsidRPr="001418B7">
        <w:rPr>
          <w:sz w:val="26"/>
          <w:lang w:val="en-CA"/>
        </w:rPr>
        <w:t xml:space="preserve"> was</w:t>
      </w:r>
      <w:r w:rsidR="00386914">
        <w:rPr>
          <w:sz w:val="26"/>
          <w:lang w:val="en-CA"/>
        </w:rPr>
        <w:t xml:space="preserve"> trade on </w:t>
      </w:r>
      <w:r w:rsidR="00F763EC" w:rsidRPr="001418B7">
        <w:rPr>
          <w:sz w:val="26"/>
          <w:lang w:val="en-CA"/>
        </w:rPr>
        <w:t>the power of his position</w:t>
      </w:r>
      <w:r w:rsidR="00D75C42" w:rsidRPr="001418B7">
        <w:rPr>
          <w:sz w:val="26"/>
          <w:lang w:val="en-CA"/>
        </w:rPr>
        <w:t xml:space="preserve"> to influence the Secretary of Cabinet</w:t>
      </w:r>
      <w:r w:rsidR="00F763EC" w:rsidRPr="001418B7">
        <w:rPr>
          <w:sz w:val="26"/>
          <w:lang w:val="en-CA"/>
        </w:rPr>
        <w:t>.</w:t>
      </w:r>
      <w:r w:rsidR="00371164" w:rsidRPr="001418B7">
        <w:rPr>
          <w:sz w:val="26"/>
          <w:lang w:val="en-CA"/>
        </w:rPr>
        <w:t xml:space="preserve"> </w:t>
      </w:r>
      <w:r w:rsidR="00CB4768" w:rsidRPr="001418B7">
        <w:rPr>
          <w:sz w:val="26"/>
          <w:lang w:val="en-CA"/>
        </w:rPr>
        <w:t>I note</w:t>
      </w:r>
      <w:r w:rsidR="00357BE5" w:rsidRPr="001418B7">
        <w:rPr>
          <w:sz w:val="26"/>
          <w:lang w:val="en-CA"/>
        </w:rPr>
        <w:t>,</w:t>
      </w:r>
      <w:r w:rsidR="00CB4768" w:rsidRPr="001418B7">
        <w:rPr>
          <w:sz w:val="26"/>
          <w:lang w:val="en-CA"/>
        </w:rPr>
        <w:t xml:space="preserve"> as well</w:t>
      </w:r>
      <w:r w:rsidR="00357BE5" w:rsidRPr="001418B7">
        <w:rPr>
          <w:sz w:val="26"/>
          <w:lang w:val="en-CA"/>
        </w:rPr>
        <w:t>,</w:t>
      </w:r>
      <w:r w:rsidR="00CB4768" w:rsidRPr="001418B7">
        <w:rPr>
          <w:sz w:val="26"/>
          <w:lang w:val="en-CA"/>
        </w:rPr>
        <w:t xml:space="preserve"> that there is no evidence that Mr. Livingston </w:t>
      </w:r>
      <w:r w:rsidR="0029504C" w:rsidRPr="001418B7">
        <w:rPr>
          <w:sz w:val="26"/>
          <w:lang w:val="en-CA"/>
        </w:rPr>
        <w:t>derived any personal gain from the commission of the offence.</w:t>
      </w:r>
    </w:p>
    <w:p w:rsidR="00EC3DBB" w:rsidRPr="001418B7" w:rsidRDefault="00501362" w:rsidP="00EC3DBB">
      <w:pPr>
        <w:pStyle w:val="MAINPARAGRAPH"/>
        <w:rPr>
          <w:b/>
          <w:sz w:val="26"/>
          <w:lang w:val="en-CA"/>
        </w:rPr>
      </w:pPr>
      <w:r w:rsidRPr="001418B7">
        <w:rPr>
          <w:sz w:val="26"/>
          <w:lang w:val="en-CA"/>
        </w:rPr>
        <w:t xml:space="preserve">The evidence </w:t>
      </w:r>
      <w:r w:rsidR="00F763EC" w:rsidRPr="001418B7">
        <w:rPr>
          <w:sz w:val="26"/>
          <w:lang w:val="en-CA"/>
        </w:rPr>
        <w:t xml:space="preserve">of Mr. Livingston’s </w:t>
      </w:r>
      <w:r w:rsidRPr="001418B7">
        <w:rPr>
          <w:sz w:val="26"/>
          <w:lang w:val="en-CA"/>
        </w:rPr>
        <w:t>prior good character should be given significant weight in crafting an appropriate sentence</w:t>
      </w:r>
      <w:r w:rsidR="00371A1E" w:rsidRPr="001418B7">
        <w:rPr>
          <w:sz w:val="26"/>
          <w:lang w:val="en-CA"/>
        </w:rPr>
        <w:t>.</w:t>
      </w:r>
      <w:r w:rsidR="00EC3DBB" w:rsidRPr="001418B7">
        <w:rPr>
          <w:b/>
          <w:sz w:val="26"/>
          <w:lang w:val="en-CA"/>
        </w:rPr>
        <w:t xml:space="preserve"> </w:t>
      </w:r>
    </w:p>
    <w:p w:rsidR="00371A1E" w:rsidRPr="001418B7" w:rsidRDefault="00EC3DBB" w:rsidP="00EC3DBB">
      <w:pPr>
        <w:pStyle w:val="MAINPARAGRAPH"/>
        <w:numPr>
          <w:ilvl w:val="0"/>
          <w:numId w:val="0"/>
        </w:numPr>
        <w:rPr>
          <w:b/>
          <w:sz w:val="26"/>
          <w:lang w:val="en-CA"/>
        </w:rPr>
      </w:pPr>
      <w:r w:rsidRPr="001418B7">
        <w:rPr>
          <w:b/>
          <w:sz w:val="26"/>
          <w:lang w:val="en-CA"/>
        </w:rPr>
        <w:t>2.</w:t>
      </w:r>
      <w:r w:rsidR="00F06480" w:rsidRPr="001418B7">
        <w:rPr>
          <w:b/>
          <w:sz w:val="26"/>
          <w:lang w:val="en-CA"/>
        </w:rPr>
        <w:t xml:space="preserve"> </w:t>
      </w:r>
      <w:r w:rsidR="00F92AB1" w:rsidRPr="001418B7">
        <w:rPr>
          <w:b/>
          <w:sz w:val="26"/>
          <w:lang w:val="en-CA"/>
        </w:rPr>
        <w:t>Stigma</w:t>
      </w:r>
    </w:p>
    <w:p w:rsidR="00931C68" w:rsidRPr="00931C68" w:rsidRDefault="002A549C" w:rsidP="005A0D95">
      <w:pPr>
        <w:pStyle w:val="MAINPARAGRAPH"/>
        <w:rPr>
          <w:b/>
          <w:sz w:val="26"/>
          <w:lang w:val="en-CA"/>
        </w:rPr>
      </w:pPr>
      <w:r w:rsidRPr="001418B7">
        <w:rPr>
          <w:sz w:val="26"/>
          <w:lang w:val="en-CA"/>
        </w:rPr>
        <w:t>The court was advised that when the first Information to Obtain was made public</w:t>
      </w:r>
      <w:r w:rsidR="00F30345">
        <w:rPr>
          <w:sz w:val="26"/>
          <w:lang w:val="en-CA"/>
        </w:rPr>
        <w:t xml:space="preserve">, as a result of an </w:t>
      </w:r>
      <w:r w:rsidRPr="001418B7">
        <w:rPr>
          <w:sz w:val="26"/>
          <w:lang w:val="en-CA"/>
        </w:rPr>
        <w:t>application</w:t>
      </w:r>
      <w:r w:rsidR="00357BE5" w:rsidRPr="001418B7">
        <w:rPr>
          <w:sz w:val="26"/>
          <w:lang w:val="en-CA"/>
        </w:rPr>
        <w:t xml:space="preserve"> by the media</w:t>
      </w:r>
      <w:r w:rsidR="00F30345">
        <w:rPr>
          <w:sz w:val="26"/>
          <w:lang w:val="en-CA"/>
        </w:rPr>
        <w:t xml:space="preserve"> to unseal</w:t>
      </w:r>
      <w:r w:rsidRPr="001418B7">
        <w:rPr>
          <w:sz w:val="26"/>
          <w:lang w:val="en-CA"/>
        </w:rPr>
        <w:t>, Mr. Livingston lost his job</w:t>
      </w:r>
      <w:r w:rsidR="001A14BE" w:rsidRPr="001418B7">
        <w:rPr>
          <w:sz w:val="26"/>
          <w:lang w:val="en-CA"/>
        </w:rPr>
        <w:t xml:space="preserve"> as a consultant</w:t>
      </w:r>
      <w:r w:rsidRPr="001418B7">
        <w:rPr>
          <w:sz w:val="26"/>
          <w:lang w:val="en-CA"/>
        </w:rPr>
        <w:t xml:space="preserve"> with a major </w:t>
      </w:r>
      <w:r w:rsidR="001A14BE" w:rsidRPr="001418B7">
        <w:rPr>
          <w:sz w:val="26"/>
          <w:lang w:val="en-CA"/>
        </w:rPr>
        <w:t>Toronto law firm. Undoubtedly</w:t>
      </w:r>
      <w:r w:rsidR="006F3550" w:rsidRPr="001418B7">
        <w:rPr>
          <w:sz w:val="26"/>
          <w:lang w:val="en-CA"/>
        </w:rPr>
        <w:t>,</w:t>
      </w:r>
      <w:r w:rsidR="001A14BE" w:rsidRPr="001418B7">
        <w:rPr>
          <w:sz w:val="26"/>
          <w:lang w:val="en-CA"/>
        </w:rPr>
        <w:t xml:space="preserve"> this case has signi</w:t>
      </w:r>
      <w:r w:rsidR="006F3550" w:rsidRPr="001418B7">
        <w:rPr>
          <w:sz w:val="26"/>
          <w:lang w:val="en-CA"/>
        </w:rPr>
        <w:t>fi</w:t>
      </w:r>
      <w:r w:rsidR="003E31C2">
        <w:rPr>
          <w:sz w:val="26"/>
          <w:lang w:val="en-CA"/>
        </w:rPr>
        <w:t xml:space="preserve">cantly undermined </w:t>
      </w:r>
      <w:r w:rsidR="006F3550" w:rsidRPr="001418B7">
        <w:rPr>
          <w:sz w:val="26"/>
          <w:lang w:val="en-CA"/>
        </w:rPr>
        <w:t xml:space="preserve">Mr. Livingston’s </w:t>
      </w:r>
      <w:r w:rsidR="00AF34F0" w:rsidRPr="001418B7">
        <w:rPr>
          <w:sz w:val="26"/>
          <w:lang w:val="en-CA"/>
        </w:rPr>
        <w:t>a</w:t>
      </w:r>
      <w:r w:rsidR="006F3550" w:rsidRPr="001418B7">
        <w:rPr>
          <w:sz w:val="26"/>
          <w:lang w:val="en-CA"/>
        </w:rPr>
        <w:t>bility to earn a living</w:t>
      </w:r>
      <w:r w:rsidR="0071258D">
        <w:rPr>
          <w:sz w:val="26"/>
          <w:lang w:val="en-CA"/>
        </w:rPr>
        <w:t xml:space="preserve"> in the areas in which his skills lie</w:t>
      </w:r>
      <w:r w:rsidR="006F3550" w:rsidRPr="001418B7">
        <w:rPr>
          <w:sz w:val="26"/>
          <w:lang w:val="en-CA"/>
        </w:rPr>
        <w:t>.</w:t>
      </w:r>
    </w:p>
    <w:p w:rsidR="005A0D95" w:rsidRPr="001418B7" w:rsidRDefault="009B10AA" w:rsidP="005A0D95">
      <w:pPr>
        <w:pStyle w:val="MAINPARAGRAPH"/>
        <w:rPr>
          <w:b/>
          <w:sz w:val="26"/>
          <w:lang w:val="en-CA"/>
        </w:rPr>
      </w:pPr>
      <w:r w:rsidRPr="001418B7">
        <w:rPr>
          <w:sz w:val="26"/>
          <w:lang w:val="en-CA"/>
        </w:rPr>
        <w:t xml:space="preserve"> There has </w:t>
      </w:r>
      <w:r w:rsidR="001E45C8" w:rsidRPr="001418B7">
        <w:rPr>
          <w:sz w:val="26"/>
          <w:lang w:val="en-CA"/>
        </w:rPr>
        <w:t xml:space="preserve">also </w:t>
      </w:r>
      <w:r w:rsidRPr="001418B7">
        <w:rPr>
          <w:sz w:val="26"/>
          <w:lang w:val="en-CA"/>
        </w:rPr>
        <w:t>been intense</w:t>
      </w:r>
      <w:r w:rsidR="00214E85" w:rsidRPr="001418B7">
        <w:rPr>
          <w:sz w:val="26"/>
          <w:lang w:val="en-CA"/>
        </w:rPr>
        <w:t xml:space="preserve"> media and public </w:t>
      </w:r>
      <w:r w:rsidR="00B71015" w:rsidRPr="001418B7">
        <w:rPr>
          <w:sz w:val="26"/>
          <w:lang w:val="en-CA"/>
        </w:rPr>
        <w:t>interest in this case. I do not doubt that the public attention focused on Mr. Livingston throughout the trial process has</w:t>
      </w:r>
      <w:r w:rsidR="001E45C8" w:rsidRPr="001418B7">
        <w:rPr>
          <w:sz w:val="26"/>
          <w:lang w:val="en-CA"/>
        </w:rPr>
        <w:t xml:space="preserve"> been extremely </w:t>
      </w:r>
      <w:r w:rsidR="002B0695" w:rsidRPr="001418B7">
        <w:rPr>
          <w:sz w:val="26"/>
          <w:lang w:val="en-CA"/>
        </w:rPr>
        <w:t>difficult for him and his family</w:t>
      </w:r>
      <w:r w:rsidR="00DD561C">
        <w:rPr>
          <w:sz w:val="26"/>
          <w:lang w:val="en-CA"/>
        </w:rPr>
        <w:t>. There is no evidence that</w:t>
      </w:r>
      <w:r w:rsidR="00912B31" w:rsidRPr="001418B7">
        <w:rPr>
          <w:sz w:val="26"/>
          <w:lang w:val="en-CA"/>
        </w:rPr>
        <w:t xml:space="preserve"> Mr. Livingston</w:t>
      </w:r>
      <w:r w:rsidR="00931C68">
        <w:rPr>
          <w:sz w:val="26"/>
          <w:lang w:val="en-CA"/>
        </w:rPr>
        <w:t xml:space="preserve"> conducted himself as a public figure who sought </w:t>
      </w:r>
      <w:r w:rsidR="00397E48">
        <w:rPr>
          <w:sz w:val="26"/>
          <w:lang w:val="en-CA"/>
        </w:rPr>
        <w:t>publicity</w:t>
      </w:r>
      <w:r w:rsidR="003E31C2">
        <w:rPr>
          <w:sz w:val="26"/>
          <w:lang w:val="en-CA"/>
        </w:rPr>
        <w:t xml:space="preserve"> during his </w:t>
      </w:r>
      <w:r w:rsidR="00931C68">
        <w:rPr>
          <w:sz w:val="26"/>
          <w:lang w:val="en-CA"/>
        </w:rPr>
        <w:t>tenure as Chief of Staff</w:t>
      </w:r>
      <w:r w:rsidR="006A5BF9" w:rsidRPr="001418B7">
        <w:rPr>
          <w:sz w:val="26"/>
          <w:lang w:val="en-CA"/>
        </w:rPr>
        <w:t xml:space="preserve">. </w:t>
      </w:r>
      <w:r w:rsidR="00000BEF" w:rsidRPr="001418B7">
        <w:rPr>
          <w:sz w:val="26"/>
          <w:lang w:val="en-CA"/>
        </w:rPr>
        <w:t xml:space="preserve">I </w:t>
      </w:r>
      <w:r w:rsidR="005A616C" w:rsidRPr="001418B7">
        <w:rPr>
          <w:sz w:val="26"/>
          <w:lang w:val="en-CA"/>
        </w:rPr>
        <w:t>accept that Mr. Livingston has suffered gre</w:t>
      </w:r>
      <w:r w:rsidR="00000BEF" w:rsidRPr="001418B7">
        <w:rPr>
          <w:sz w:val="26"/>
          <w:lang w:val="en-CA"/>
        </w:rPr>
        <w:t>atly prior to sentence.</w:t>
      </w:r>
      <w:r w:rsidR="004D2DA6" w:rsidRPr="001418B7">
        <w:rPr>
          <w:sz w:val="26"/>
          <w:lang w:val="en-CA"/>
        </w:rPr>
        <w:t xml:space="preserve"> </w:t>
      </w:r>
      <w:r w:rsidR="00A16FE2" w:rsidRPr="001418B7">
        <w:rPr>
          <w:sz w:val="26"/>
          <w:lang w:val="en-CA"/>
        </w:rPr>
        <w:t>Very often</w:t>
      </w:r>
      <w:r w:rsidR="003E31C2">
        <w:rPr>
          <w:sz w:val="26"/>
          <w:lang w:val="en-CA"/>
        </w:rPr>
        <w:t>,</w:t>
      </w:r>
      <w:r w:rsidR="00A16FE2" w:rsidRPr="001418B7">
        <w:rPr>
          <w:sz w:val="26"/>
          <w:lang w:val="en-CA"/>
        </w:rPr>
        <w:t xml:space="preserve"> the publicity attached to the mere laying of charges</w:t>
      </w:r>
      <w:r w:rsidR="00FA239F" w:rsidRPr="001418B7">
        <w:rPr>
          <w:sz w:val="26"/>
          <w:lang w:val="en-CA"/>
        </w:rPr>
        <w:t>,</w:t>
      </w:r>
      <w:r w:rsidR="00A16FE2" w:rsidRPr="001418B7">
        <w:rPr>
          <w:sz w:val="26"/>
          <w:lang w:val="en-CA"/>
        </w:rPr>
        <w:t xml:space="preserve"> and even more so</w:t>
      </w:r>
      <w:r w:rsidR="00DE412F">
        <w:rPr>
          <w:sz w:val="26"/>
          <w:lang w:val="en-CA"/>
        </w:rPr>
        <w:t xml:space="preserve">, to </w:t>
      </w:r>
      <w:r w:rsidR="00A16FE2" w:rsidRPr="001418B7">
        <w:rPr>
          <w:sz w:val="26"/>
          <w:lang w:val="en-CA"/>
        </w:rPr>
        <w:t>the fact of trial and conviction can be devastating for a person of previous good character</w:t>
      </w:r>
      <w:r w:rsidR="00C81F88">
        <w:rPr>
          <w:sz w:val="26"/>
          <w:lang w:val="en-CA"/>
        </w:rPr>
        <w:t xml:space="preserve"> such as the</w:t>
      </w:r>
      <w:r w:rsidR="00FF6264" w:rsidRPr="001418B7">
        <w:rPr>
          <w:sz w:val="26"/>
          <w:lang w:val="en-CA"/>
        </w:rPr>
        <w:t xml:space="preserve"> defendant</w:t>
      </w:r>
      <w:r w:rsidR="00C111F1" w:rsidRPr="001418B7">
        <w:rPr>
          <w:sz w:val="26"/>
          <w:lang w:val="en-CA"/>
        </w:rPr>
        <w:t>.</w:t>
      </w:r>
      <w:r w:rsidR="00C15BA4" w:rsidRPr="001418B7">
        <w:rPr>
          <w:sz w:val="26"/>
          <w:lang w:val="en-CA"/>
        </w:rPr>
        <w:t xml:space="preserve"> </w:t>
      </w:r>
      <w:r w:rsidR="00F37C6A" w:rsidRPr="001418B7">
        <w:rPr>
          <w:sz w:val="26"/>
          <w:lang w:val="en-CA"/>
        </w:rPr>
        <w:t>The stigma resulting from adverse publicity can be a m</w:t>
      </w:r>
      <w:r w:rsidR="00C81F88">
        <w:rPr>
          <w:sz w:val="26"/>
          <w:lang w:val="en-CA"/>
        </w:rPr>
        <w:t>itigating factor when it serves</w:t>
      </w:r>
      <w:r w:rsidR="00F37C6A" w:rsidRPr="001418B7">
        <w:rPr>
          <w:sz w:val="26"/>
          <w:lang w:val="en-CA"/>
        </w:rPr>
        <w:t xml:space="preserve"> a denun</w:t>
      </w:r>
      <w:r w:rsidR="00380212" w:rsidRPr="001418B7">
        <w:rPr>
          <w:sz w:val="26"/>
          <w:lang w:val="en-CA"/>
        </w:rPr>
        <w:t>cia</w:t>
      </w:r>
      <w:r w:rsidR="00C81F88">
        <w:rPr>
          <w:sz w:val="26"/>
          <w:lang w:val="en-CA"/>
        </w:rPr>
        <w:t>tory function</w:t>
      </w:r>
      <w:r w:rsidR="00F37C6A" w:rsidRPr="001418B7">
        <w:rPr>
          <w:sz w:val="26"/>
          <w:lang w:val="en-CA"/>
        </w:rPr>
        <w:t xml:space="preserve">. </w:t>
      </w:r>
      <w:r w:rsidR="00EC3DBB" w:rsidRPr="001418B7">
        <w:rPr>
          <w:sz w:val="26"/>
          <w:lang w:val="en-CA"/>
        </w:rPr>
        <w:t>I find that to be the case here.</w:t>
      </w:r>
    </w:p>
    <w:p w:rsidR="00BD373B" w:rsidRPr="001418B7" w:rsidRDefault="005A0D95" w:rsidP="005A0D95">
      <w:pPr>
        <w:pStyle w:val="MAINPARAGRAPH"/>
        <w:numPr>
          <w:ilvl w:val="0"/>
          <w:numId w:val="0"/>
        </w:numPr>
        <w:rPr>
          <w:b/>
          <w:sz w:val="26"/>
          <w:lang w:val="en-CA"/>
        </w:rPr>
      </w:pPr>
      <w:r w:rsidRPr="001418B7">
        <w:rPr>
          <w:b/>
          <w:sz w:val="26"/>
          <w:lang w:val="en-CA"/>
        </w:rPr>
        <w:t>3</w:t>
      </w:r>
      <w:r w:rsidR="00936286" w:rsidRPr="001418B7">
        <w:rPr>
          <w:b/>
          <w:sz w:val="26"/>
          <w:lang w:val="en-CA"/>
        </w:rPr>
        <w:t xml:space="preserve">. </w:t>
      </w:r>
      <w:r w:rsidRPr="001418B7">
        <w:rPr>
          <w:b/>
          <w:sz w:val="26"/>
          <w:lang w:val="en-CA"/>
        </w:rPr>
        <w:t xml:space="preserve">Travel </w:t>
      </w:r>
      <w:r w:rsidR="007F02FE" w:rsidRPr="001418B7">
        <w:rPr>
          <w:b/>
          <w:sz w:val="26"/>
          <w:lang w:val="en-CA"/>
        </w:rPr>
        <w:t>consequences</w:t>
      </w:r>
    </w:p>
    <w:p w:rsidR="007F02FE" w:rsidRPr="001418B7" w:rsidRDefault="00A26A6E" w:rsidP="0067505C">
      <w:pPr>
        <w:pStyle w:val="MAINPARAGRAPH"/>
        <w:rPr>
          <w:b/>
          <w:sz w:val="26"/>
          <w:lang w:val="en-CA"/>
        </w:rPr>
      </w:pPr>
      <w:r w:rsidRPr="001418B7">
        <w:rPr>
          <w:sz w:val="26"/>
          <w:lang w:val="en-CA"/>
        </w:rPr>
        <w:t xml:space="preserve">I also take into consideration </w:t>
      </w:r>
      <w:r w:rsidR="00DF056B" w:rsidRPr="001418B7">
        <w:rPr>
          <w:sz w:val="26"/>
          <w:lang w:val="en-CA"/>
        </w:rPr>
        <w:t>that any disposition greater than an absolute discharge will lead to mandatory inadmissibility to the United States. Mr. Livingston would not be able to travel to the U.S. for business or personal reasons</w:t>
      </w:r>
      <w:r w:rsidR="00FA7A04" w:rsidRPr="001418B7">
        <w:rPr>
          <w:sz w:val="26"/>
          <w:lang w:val="en-CA"/>
        </w:rPr>
        <w:t xml:space="preserve">. The court was advised that </w:t>
      </w:r>
      <w:r w:rsidR="006634E4">
        <w:rPr>
          <w:sz w:val="26"/>
          <w:lang w:val="en-CA"/>
        </w:rPr>
        <w:t>the defendant and his family have</w:t>
      </w:r>
      <w:r w:rsidR="00FA7A04" w:rsidRPr="001418B7">
        <w:rPr>
          <w:sz w:val="26"/>
          <w:lang w:val="en-CA"/>
        </w:rPr>
        <w:t xml:space="preserve"> a second home in Florida</w:t>
      </w:r>
      <w:r w:rsidR="00597DF6">
        <w:rPr>
          <w:sz w:val="26"/>
          <w:lang w:val="en-CA"/>
        </w:rPr>
        <w:t>,</w:t>
      </w:r>
      <w:r w:rsidR="00122B8C" w:rsidRPr="001418B7">
        <w:rPr>
          <w:sz w:val="26"/>
          <w:lang w:val="en-CA"/>
        </w:rPr>
        <w:t xml:space="preserve"> which is important to them</w:t>
      </w:r>
      <w:r w:rsidR="007F3713" w:rsidRPr="001418B7">
        <w:rPr>
          <w:sz w:val="26"/>
          <w:lang w:val="en-CA"/>
        </w:rPr>
        <w:t>. It is possible</w:t>
      </w:r>
      <w:r w:rsidR="00597DF6">
        <w:rPr>
          <w:sz w:val="26"/>
          <w:lang w:val="en-CA"/>
        </w:rPr>
        <w:t xml:space="preserve"> </w:t>
      </w:r>
      <w:r w:rsidR="002D7492" w:rsidRPr="001418B7">
        <w:rPr>
          <w:sz w:val="26"/>
          <w:lang w:val="en-CA"/>
        </w:rPr>
        <w:t>they will have to sell it.</w:t>
      </w:r>
      <w:r w:rsidR="005A27F3" w:rsidRPr="001418B7">
        <w:rPr>
          <w:sz w:val="26"/>
          <w:lang w:val="en-CA"/>
        </w:rPr>
        <w:t xml:space="preserve"> Th</w:t>
      </w:r>
      <w:r w:rsidR="00A30B08" w:rsidRPr="001418B7">
        <w:rPr>
          <w:sz w:val="26"/>
          <w:lang w:val="en-CA"/>
        </w:rPr>
        <w:t>is is, of course, not a major mitigating fact</w:t>
      </w:r>
      <w:r w:rsidR="005A0D95" w:rsidRPr="001418B7">
        <w:rPr>
          <w:sz w:val="26"/>
          <w:lang w:val="en-CA"/>
        </w:rPr>
        <w:t xml:space="preserve">or in assessing penalty, but </w:t>
      </w:r>
      <w:r w:rsidR="00A30B08" w:rsidRPr="001418B7">
        <w:rPr>
          <w:sz w:val="26"/>
          <w:lang w:val="en-CA"/>
        </w:rPr>
        <w:t xml:space="preserve">is a </w:t>
      </w:r>
      <w:r w:rsidR="005A0D95" w:rsidRPr="001418B7">
        <w:rPr>
          <w:sz w:val="26"/>
          <w:lang w:val="en-CA"/>
        </w:rPr>
        <w:t>noteworthy consequ</w:t>
      </w:r>
      <w:r w:rsidR="001B46AB" w:rsidRPr="001418B7">
        <w:rPr>
          <w:sz w:val="26"/>
          <w:lang w:val="en-CA"/>
        </w:rPr>
        <w:t>ence of a criminal conviction</w:t>
      </w:r>
      <w:r w:rsidR="005A0D95" w:rsidRPr="001418B7">
        <w:rPr>
          <w:sz w:val="26"/>
          <w:lang w:val="en-CA"/>
        </w:rPr>
        <w:t>.</w:t>
      </w:r>
    </w:p>
    <w:p w:rsidR="00597DF6" w:rsidRDefault="00597DF6" w:rsidP="001B46AB">
      <w:pPr>
        <w:pStyle w:val="MAINPARAGRAPH"/>
        <w:numPr>
          <w:ilvl w:val="0"/>
          <w:numId w:val="0"/>
        </w:numPr>
        <w:rPr>
          <w:b/>
          <w:sz w:val="26"/>
          <w:lang w:val="en-CA"/>
        </w:rPr>
      </w:pPr>
    </w:p>
    <w:p w:rsidR="00597DF6" w:rsidRDefault="00597DF6" w:rsidP="001B46AB">
      <w:pPr>
        <w:pStyle w:val="MAINPARAGRAPH"/>
        <w:numPr>
          <w:ilvl w:val="0"/>
          <w:numId w:val="0"/>
        </w:numPr>
        <w:rPr>
          <w:b/>
          <w:sz w:val="26"/>
          <w:lang w:val="en-CA"/>
        </w:rPr>
      </w:pPr>
    </w:p>
    <w:p w:rsidR="00CE49D1" w:rsidRDefault="00CE49D1" w:rsidP="001B46AB">
      <w:pPr>
        <w:pStyle w:val="MAINPARAGRAPH"/>
        <w:numPr>
          <w:ilvl w:val="0"/>
          <w:numId w:val="0"/>
        </w:numPr>
        <w:rPr>
          <w:b/>
          <w:sz w:val="26"/>
          <w:lang w:val="en-CA"/>
        </w:rPr>
      </w:pPr>
    </w:p>
    <w:p w:rsidR="00CE49D1" w:rsidRDefault="00CE49D1" w:rsidP="001B46AB">
      <w:pPr>
        <w:pStyle w:val="MAINPARAGRAPH"/>
        <w:numPr>
          <w:ilvl w:val="0"/>
          <w:numId w:val="0"/>
        </w:numPr>
        <w:rPr>
          <w:b/>
          <w:sz w:val="26"/>
          <w:lang w:val="en-CA"/>
        </w:rPr>
      </w:pPr>
    </w:p>
    <w:p w:rsidR="007A6B34" w:rsidRDefault="007A6B34" w:rsidP="001B46AB">
      <w:pPr>
        <w:pStyle w:val="MAINPARAGRAPH"/>
        <w:numPr>
          <w:ilvl w:val="0"/>
          <w:numId w:val="0"/>
        </w:numPr>
        <w:rPr>
          <w:b/>
          <w:sz w:val="26"/>
          <w:lang w:val="en-CA"/>
        </w:rPr>
      </w:pPr>
    </w:p>
    <w:p w:rsidR="00460D2F" w:rsidRPr="007E6AC9" w:rsidRDefault="008E0F7A" w:rsidP="001B46AB">
      <w:pPr>
        <w:pStyle w:val="MAINPARAGRAPH"/>
        <w:numPr>
          <w:ilvl w:val="0"/>
          <w:numId w:val="0"/>
        </w:numPr>
        <w:rPr>
          <w:b/>
          <w:sz w:val="26"/>
          <w:lang w:val="en-CA"/>
        </w:rPr>
      </w:pPr>
      <w:r w:rsidRPr="007E6AC9">
        <w:rPr>
          <w:b/>
          <w:sz w:val="26"/>
          <w:lang w:val="en-CA"/>
        </w:rPr>
        <w:lastRenderedPageBreak/>
        <w:t>Proportionality</w:t>
      </w:r>
      <w:r w:rsidR="000B2FAF" w:rsidRPr="007E6AC9">
        <w:rPr>
          <w:b/>
          <w:sz w:val="26"/>
          <w:lang w:val="en-CA"/>
        </w:rPr>
        <w:t xml:space="preserve"> in this case</w:t>
      </w:r>
    </w:p>
    <w:p w:rsidR="00460D2F" w:rsidRPr="001418B7" w:rsidRDefault="00625D6B" w:rsidP="0067505C">
      <w:pPr>
        <w:pStyle w:val="MAINPARAGRAPH"/>
        <w:rPr>
          <w:b/>
          <w:sz w:val="26"/>
          <w:lang w:val="en-CA"/>
        </w:rPr>
      </w:pPr>
      <w:r w:rsidRPr="001418B7">
        <w:rPr>
          <w:sz w:val="26"/>
          <w:lang w:val="en-CA"/>
        </w:rPr>
        <w:t>A</w:t>
      </w:r>
      <w:r w:rsidR="00814A9C" w:rsidRPr="001418B7">
        <w:rPr>
          <w:sz w:val="26"/>
          <w:lang w:val="en-CA"/>
        </w:rPr>
        <w:t>s noted earlier in these reasons, the fundamental requirement of sentencing is that a</w:t>
      </w:r>
      <w:r w:rsidRPr="001418B7">
        <w:rPr>
          <w:sz w:val="26"/>
          <w:lang w:val="en-CA"/>
        </w:rPr>
        <w:t xml:space="preserve"> sentence must</w:t>
      </w:r>
      <w:r w:rsidR="00F85B5C" w:rsidRPr="001418B7">
        <w:rPr>
          <w:sz w:val="26"/>
          <w:lang w:val="en-CA"/>
        </w:rPr>
        <w:t xml:space="preserve"> be proportionate to the seriousness</w:t>
      </w:r>
      <w:r w:rsidRPr="001418B7">
        <w:rPr>
          <w:sz w:val="26"/>
          <w:lang w:val="en-CA"/>
        </w:rPr>
        <w:t xml:space="preserve"> of the offence and the degree of responsibility of the offender</w:t>
      </w:r>
      <w:r w:rsidR="007B70EC" w:rsidRPr="001418B7">
        <w:rPr>
          <w:sz w:val="26"/>
          <w:lang w:val="en-CA"/>
        </w:rPr>
        <w:t xml:space="preserve">. </w:t>
      </w:r>
    </w:p>
    <w:p w:rsidR="00406A3D" w:rsidRPr="001418B7" w:rsidRDefault="00597DF6" w:rsidP="0067505C">
      <w:pPr>
        <w:pStyle w:val="MAINPARAGRAPH"/>
        <w:rPr>
          <w:b/>
          <w:sz w:val="26"/>
          <w:lang w:val="en-CA"/>
        </w:rPr>
      </w:pPr>
      <w:r>
        <w:rPr>
          <w:sz w:val="26"/>
          <w:lang w:val="en-CA"/>
        </w:rPr>
        <w:t>This</w:t>
      </w:r>
      <w:r w:rsidR="001C61AE" w:rsidRPr="001418B7">
        <w:rPr>
          <w:sz w:val="26"/>
          <w:lang w:val="en-CA"/>
        </w:rPr>
        <w:t xml:space="preserve"> offence</w:t>
      </w:r>
      <w:r w:rsidR="00346300" w:rsidRPr="001418B7">
        <w:rPr>
          <w:sz w:val="26"/>
          <w:lang w:val="en-CA"/>
        </w:rPr>
        <w:t xml:space="preserve"> </w:t>
      </w:r>
      <w:r w:rsidR="001C61AE" w:rsidRPr="001418B7">
        <w:rPr>
          <w:sz w:val="26"/>
          <w:lang w:val="en-CA"/>
        </w:rPr>
        <w:t xml:space="preserve">is very serious because </w:t>
      </w:r>
      <w:r>
        <w:rPr>
          <w:sz w:val="26"/>
          <w:lang w:val="en-CA"/>
        </w:rPr>
        <w:t>it involves</w:t>
      </w:r>
      <w:r w:rsidR="0024716E" w:rsidRPr="001418B7">
        <w:rPr>
          <w:sz w:val="26"/>
          <w:lang w:val="en-CA"/>
        </w:rPr>
        <w:t xml:space="preserve"> an attempt by the defendant to thwart the core values of accountability and transparency that are</w:t>
      </w:r>
      <w:r w:rsidR="00346300" w:rsidRPr="001418B7">
        <w:rPr>
          <w:sz w:val="26"/>
          <w:lang w:val="en-CA"/>
        </w:rPr>
        <w:t xml:space="preserve"> essential to the proper </w:t>
      </w:r>
      <w:r w:rsidR="009739C3" w:rsidRPr="001418B7">
        <w:rPr>
          <w:sz w:val="26"/>
          <w:lang w:val="en-CA"/>
        </w:rPr>
        <w:t>functioning of</w:t>
      </w:r>
      <w:r w:rsidR="00346300" w:rsidRPr="001418B7">
        <w:rPr>
          <w:sz w:val="26"/>
          <w:lang w:val="en-CA"/>
        </w:rPr>
        <w:t xml:space="preserve"> parliamentary democracy</w:t>
      </w:r>
      <w:r w:rsidR="00F85B5C" w:rsidRPr="001418B7">
        <w:rPr>
          <w:sz w:val="26"/>
          <w:lang w:val="en-CA"/>
        </w:rPr>
        <w:t xml:space="preserve">. </w:t>
      </w:r>
      <w:r w:rsidR="009A781A" w:rsidRPr="001418B7">
        <w:rPr>
          <w:sz w:val="26"/>
          <w:lang w:val="en-CA"/>
        </w:rPr>
        <w:t>Mr. Livingston’</w:t>
      </w:r>
      <w:r w:rsidR="0017012E" w:rsidRPr="001418B7">
        <w:rPr>
          <w:sz w:val="26"/>
          <w:lang w:val="en-CA"/>
        </w:rPr>
        <w:t xml:space="preserve">s plan was to deny the </w:t>
      </w:r>
      <w:r w:rsidR="006B57D5" w:rsidRPr="001418B7">
        <w:rPr>
          <w:sz w:val="26"/>
          <w:lang w:val="en-CA"/>
        </w:rPr>
        <w:t>public its right to</w:t>
      </w:r>
      <w:r w:rsidR="006634E4">
        <w:rPr>
          <w:sz w:val="26"/>
          <w:lang w:val="en-CA"/>
        </w:rPr>
        <w:t xml:space="preserve"> know about government decision-</w:t>
      </w:r>
      <w:r w:rsidR="00A83B15">
        <w:rPr>
          <w:sz w:val="26"/>
          <w:lang w:val="en-CA"/>
        </w:rPr>
        <w:t>making with regard</w:t>
      </w:r>
      <w:r w:rsidR="00D77C6F" w:rsidRPr="001418B7">
        <w:rPr>
          <w:sz w:val="26"/>
          <w:lang w:val="en-CA"/>
        </w:rPr>
        <w:t xml:space="preserve"> to the gas plant controversy.</w:t>
      </w:r>
    </w:p>
    <w:p w:rsidR="00BC7937" w:rsidRPr="001418B7" w:rsidRDefault="00F85B5C" w:rsidP="0067505C">
      <w:pPr>
        <w:pStyle w:val="MAINPARAGRAPH"/>
        <w:rPr>
          <w:b/>
          <w:sz w:val="26"/>
          <w:lang w:val="en-CA"/>
        </w:rPr>
      </w:pPr>
      <w:r w:rsidRPr="001418B7">
        <w:rPr>
          <w:sz w:val="26"/>
          <w:lang w:val="en-CA"/>
        </w:rPr>
        <w:t xml:space="preserve">Public access to information is a fundamental </w:t>
      </w:r>
      <w:r w:rsidR="00F03301" w:rsidRPr="001418B7">
        <w:rPr>
          <w:sz w:val="26"/>
          <w:lang w:val="en-CA"/>
        </w:rPr>
        <w:t xml:space="preserve">component of the democratic process. </w:t>
      </w:r>
      <w:r w:rsidR="007C7539" w:rsidRPr="001418B7">
        <w:rPr>
          <w:sz w:val="26"/>
          <w:lang w:val="en-CA"/>
        </w:rPr>
        <w:t>In emphasizing this principle</w:t>
      </w:r>
      <w:r w:rsidR="00280726" w:rsidRPr="001418B7">
        <w:rPr>
          <w:sz w:val="26"/>
          <w:lang w:val="en-CA"/>
        </w:rPr>
        <w:t>, the Supreme Court ha</w:t>
      </w:r>
      <w:r w:rsidR="00553CC1" w:rsidRPr="001418B7">
        <w:rPr>
          <w:sz w:val="26"/>
          <w:lang w:val="en-CA"/>
        </w:rPr>
        <w:t>s</w:t>
      </w:r>
      <w:r w:rsidR="00860463" w:rsidRPr="001418B7">
        <w:rPr>
          <w:sz w:val="26"/>
          <w:lang w:val="en-CA"/>
        </w:rPr>
        <w:t xml:space="preserve"> in past </w:t>
      </w:r>
      <w:r w:rsidR="007F3713" w:rsidRPr="001418B7">
        <w:rPr>
          <w:sz w:val="26"/>
          <w:lang w:val="en-CA"/>
        </w:rPr>
        <w:t>decisions</w:t>
      </w:r>
      <w:r w:rsidR="00F55BEC">
        <w:rPr>
          <w:sz w:val="26"/>
          <w:lang w:val="en-CA"/>
        </w:rPr>
        <w:t xml:space="preserve"> made these relevant and important</w:t>
      </w:r>
      <w:r w:rsidR="00553CC1" w:rsidRPr="001418B7">
        <w:rPr>
          <w:sz w:val="26"/>
          <w:lang w:val="en-CA"/>
        </w:rPr>
        <w:t xml:space="preserve"> </w:t>
      </w:r>
      <w:r w:rsidR="00860463" w:rsidRPr="001418B7">
        <w:rPr>
          <w:sz w:val="26"/>
          <w:lang w:val="en-CA"/>
        </w:rPr>
        <w:t>observations</w:t>
      </w:r>
      <w:r w:rsidR="00130E23" w:rsidRPr="001418B7">
        <w:rPr>
          <w:sz w:val="26"/>
          <w:lang w:val="en-CA"/>
        </w:rPr>
        <w:t>:</w:t>
      </w:r>
    </w:p>
    <w:p w:rsidR="00771E80" w:rsidRPr="001418B7" w:rsidRDefault="00412C21" w:rsidP="007C7539">
      <w:pPr>
        <w:pStyle w:val="MAINPARAGRAPH"/>
        <w:numPr>
          <w:ilvl w:val="0"/>
          <w:numId w:val="0"/>
        </w:numPr>
        <w:ind w:left="720"/>
        <w:rPr>
          <w:b/>
          <w:sz w:val="26"/>
          <w:lang w:val="en-CA"/>
        </w:rPr>
      </w:pPr>
      <w:r w:rsidRPr="001418B7">
        <w:rPr>
          <w:sz w:val="26"/>
          <w:lang w:val="en-CA"/>
        </w:rPr>
        <w:t>Access to information legislation serves an important public interest: accountability of government to the citizenry</w:t>
      </w:r>
      <w:r w:rsidR="00D008CF" w:rsidRPr="001418B7">
        <w:rPr>
          <w:sz w:val="26"/>
          <w:lang w:val="en-CA"/>
        </w:rPr>
        <w:t>. An open and democratic society requires public access to government information to enable public debate on the conduct of government institutions.</w:t>
      </w:r>
      <w:r w:rsidR="00E35A61" w:rsidRPr="001418B7">
        <w:rPr>
          <w:rStyle w:val="FootnoteReference"/>
          <w:sz w:val="26"/>
          <w:lang w:val="en-CA"/>
        </w:rPr>
        <w:footnoteReference w:id="4"/>
      </w:r>
    </w:p>
    <w:p w:rsidR="00124420" w:rsidRPr="001418B7" w:rsidRDefault="00124420" w:rsidP="007C7539">
      <w:pPr>
        <w:pStyle w:val="MAINPARAGRAPH"/>
        <w:numPr>
          <w:ilvl w:val="0"/>
          <w:numId w:val="0"/>
        </w:numPr>
        <w:ind w:left="720"/>
        <w:rPr>
          <w:b/>
          <w:sz w:val="26"/>
          <w:lang w:val="en-CA"/>
        </w:rPr>
      </w:pPr>
      <w:r w:rsidRPr="001418B7">
        <w:rPr>
          <w:sz w:val="26"/>
          <w:lang w:val="en-CA"/>
        </w:rPr>
        <w:t>Access to information in the hands of public institutions can incr</w:t>
      </w:r>
      <w:r w:rsidR="009A79DE" w:rsidRPr="001418B7">
        <w:rPr>
          <w:sz w:val="26"/>
          <w:lang w:val="en-CA"/>
        </w:rPr>
        <w:t xml:space="preserve">ease transparency in government, contribute to an </w:t>
      </w:r>
      <w:r w:rsidR="00CE49D1">
        <w:rPr>
          <w:sz w:val="26"/>
          <w:lang w:val="en-CA"/>
        </w:rPr>
        <w:t>informed public, and enhance an</w:t>
      </w:r>
      <w:r w:rsidR="009A79DE" w:rsidRPr="001418B7">
        <w:rPr>
          <w:sz w:val="26"/>
          <w:lang w:val="en-CA"/>
        </w:rPr>
        <w:t xml:space="preserve"> open and democratic society.</w:t>
      </w:r>
      <w:r w:rsidR="00585E99" w:rsidRPr="001418B7">
        <w:rPr>
          <w:rStyle w:val="FootnoteReference"/>
          <w:sz w:val="26"/>
          <w:lang w:val="en-CA"/>
        </w:rPr>
        <w:footnoteReference w:id="5"/>
      </w:r>
    </w:p>
    <w:p w:rsidR="0050520F" w:rsidRPr="001418B7" w:rsidRDefault="00C8065A" w:rsidP="007C7539">
      <w:pPr>
        <w:pStyle w:val="MAINPARAGRAPH"/>
        <w:numPr>
          <w:ilvl w:val="0"/>
          <w:numId w:val="0"/>
        </w:numPr>
        <w:ind w:left="720"/>
        <w:rPr>
          <w:b/>
          <w:sz w:val="26"/>
          <w:lang w:val="en-CA"/>
        </w:rPr>
      </w:pPr>
      <w:r w:rsidRPr="001418B7">
        <w:rPr>
          <w:sz w:val="26"/>
          <w:lang w:val="en-CA"/>
        </w:rPr>
        <w:t>Access to information legislation embodies values that are fundamental to our democracy</w:t>
      </w:r>
      <w:r w:rsidR="00435AA8" w:rsidRPr="001418B7">
        <w:rPr>
          <w:sz w:val="26"/>
          <w:lang w:val="en-CA"/>
        </w:rPr>
        <w:t xml:space="preserve"> and creates and safeguards certain values</w:t>
      </w:r>
      <w:r w:rsidR="00CE49D1">
        <w:rPr>
          <w:sz w:val="26"/>
          <w:lang w:val="en-CA"/>
        </w:rPr>
        <w:t xml:space="preserve"> </w:t>
      </w:r>
      <w:r w:rsidR="00435AA8" w:rsidRPr="001418B7">
        <w:rPr>
          <w:sz w:val="26"/>
          <w:lang w:val="en-CA"/>
        </w:rPr>
        <w:t>- transparency, accountability and governance</w:t>
      </w:r>
      <w:r w:rsidR="00CE49D1">
        <w:rPr>
          <w:sz w:val="26"/>
          <w:lang w:val="en-CA"/>
        </w:rPr>
        <w:t xml:space="preserve"> </w:t>
      </w:r>
      <w:r w:rsidR="00435AA8" w:rsidRPr="001418B7">
        <w:rPr>
          <w:sz w:val="26"/>
          <w:lang w:val="en-CA"/>
        </w:rPr>
        <w:t>- that are essential to making democracy workable</w:t>
      </w:r>
      <w:r w:rsidR="0050520F" w:rsidRPr="001418B7">
        <w:rPr>
          <w:sz w:val="26"/>
          <w:lang w:val="en-CA"/>
        </w:rPr>
        <w:t>.</w:t>
      </w:r>
      <w:r w:rsidR="0037451D" w:rsidRPr="001418B7">
        <w:rPr>
          <w:rStyle w:val="FootnoteReference"/>
          <w:sz w:val="26"/>
          <w:lang w:val="en-CA"/>
        </w:rPr>
        <w:footnoteReference w:id="6"/>
      </w:r>
    </w:p>
    <w:p w:rsidR="002C2E41" w:rsidRPr="001418B7" w:rsidRDefault="004356FB" w:rsidP="007C7539">
      <w:pPr>
        <w:pStyle w:val="MAINPARAGRAPH"/>
        <w:numPr>
          <w:ilvl w:val="0"/>
          <w:numId w:val="0"/>
        </w:numPr>
        <w:ind w:left="720"/>
        <w:rPr>
          <w:b/>
          <w:sz w:val="26"/>
          <w:lang w:val="en-CA"/>
        </w:rPr>
      </w:pPr>
      <w:r w:rsidRPr="001418B7">
        <w:rPr>
          <w:sz w:val="26"/>
          <w:lang w:val="en-CA"/>
        </w:rPr>
        <w:t>The overarching purpose of acce</w:t>
      </w:r>
      <w:r w:rsidR="00C23068">
        <w:rPr>
          <w:sz w:val="26"/>
          <w:lang w:val="en-CA"/>
        </w:rPr>
        <w:t>ss to information</w:t>
      </w:r>
      <w:r w:rsidRPr="001418B7">
        <w:rPr>
          <w:sz w:val="26"/>
          <w:lang w:val="en-CA"/>
        </w:rPr>
        <w:t xml:space="preserve"> legislation, then, is to facilitate</w:t>
      </w:r>
      <w:r w:rsidR="004C79DC" w:rsidRPr="001418B7">
        <w:rPr>
          <w:sz w:val="26"/>
          <w:lang w:val="en-CA"/>
        </w:rPr>
        <w:t xml:space="preserve"> democracy. It does so in two ways. It helps to ensure first, that citizens have the information required to participate meaningfully in the democratic process, and secondly, that politicians and </w:t>
      </w:r>
      <w:r w:rsidR="00771E80" w:rsidRPr="001418B7">
        <w:rPr>
          <w:sz w:val="26"/>
          <w:lang w:val="en-CA"/>
        </w:rPr>
        <w:t>bureaucrats remain</w:t>
      </w:r>
      <w:r w:rsidR="004C79DC" w:rsidRPr="001418B7">
        <w:rPr>
          <w:sz w:val="26"/>
          <w:lang w:val="en-CA"/>
        </w:rPr>
        <w:t xml:space="preserve"> accountable to the </w:t>
      </w:r>
      <w:r w:rsidR="00BC7937" w:rsidRPr="001418B7">
        <w:rPr>
          <w:sz w:val="26"/>
          <w:lang w:val="en-CA"/>
        </w:rPr>
        <w:t>citizenry.</w:t>
      </w:r>
      <w:r w:rsidR="001F1BC2" w:rsidRPr="001418B7">
        <w:rPr>
          <w:rStyle w:val="FootnoteReference"/>
          <w:sz w:val="26"/>
          <w:lang w:val="en-CA"/>
        </w:rPr>
        <w:footnoteReference w:id="7"/>
      </w:r>
    </w:p>
    <w:p w:rsidR="0080614A" w:rsidRPr="00A419B1" w:rsidRDefault="00B52C74" w:rsidP="00A419B1">
      <w:pPr>
        <w:pStyle w:val="MAINPARAGRAPH"/>
        <w:rPr>
          <w:sz w:val="26"/>
          <w:lang w:val="en-CA"/>
        </w:rPr>
      </w:pPr>
      <w:r w:rsidRPr="001418B7">
        <w:rPr>
          <w:sz w:val="26"/>
          <w:lang w:val="en-CA"/>
        </w:rPr>
        <w:t>The seriousness of the offence is compounded by the fact that Mr. Livin</w:t>
      </w:r>
      <w:r w:rsidR="006B507C" w:rsidRPr="001418B7">
        <w:rPr>
          <w:sz w:val="26"/>
          <w:lang w:val="en-CA"/>
        </w:rPr>
        <w:t xml:space="preserve">gston </w:t>
      </w:r>
      <w:r w:rsidRPr="001418B7">
        <w:rPr>
          <w:sz w:val="26"/>
          <w:lang w:val="en-CA"/>
        </w:rPr>
        <w:t>attempted to interfere</w:t>
      </w:r>
      <w:r w:rsidR="00D77C6F" w:rsidRPr="001418B7">
        <w:rPr>
          <w:sz w:val="26"/>
          <w:lang w:val="en-CA"/>
        </w:rPr>
        <w:t xml:space="preserve"> </w:t>
      </w:r>
      <w:r w:rsidR="002F1BC8" w:rsidRPr="001418B7">
        <w:rPr>
          <w:sz w:val="26"/>
          <w:lang w:val="en-CA"/>
        </w:rPr>
        <w:t>not only</w:t>
      </w:r>
      <w:r w:rsidR="00D77C6F" w:rsidRPr="001418B7">
        <w:rPr>
          <w:sz w:val="26"/>
          <w:lang w:val="en-CA"/>
        </w:rPr>
        <w:t xml:space="preserve"> with</w:t>
      </w:r>
      <w:r w:rsidR="002F1BC8" w:rsidRPr="001418B7">
        <w:rPr>
          <w:sz w:val="26"/>
          <w:lang w:val="en-CA"/>
        </w:rPr>
        <w:t xml:space="preserve"> </w:t>
      </w:r>
      <w:r w:rsidR="006B507C" w:rsidRPr="001418B7">
        <w:rPr>
          <w:sz w:val="26"/>
          <w:lang w:val="en-CA"/>
        </w:rPr>
        <w:t>access to information legislation</w:t>
      </w:r>
      <w:r w:rsidR="00E357E5">
        <w:rPr>
          <w:sz w:val="26"/>
          <w:lang w:val="en-CA"/>
        </w:rPr>
        <w:t>,</w:t>
      </w:r>
      <w:r w:rsidR="006B507C" w:rsidRPr="001418B7">
        <w:rPr>
          <w:sz w:val="26"/>
          <w:lang w:val="en-CA"/>
        </w:rPr>
        <w:t xml:space="preserve"> but also </w:t>
      </w:r>
      <w:r w:rsidR="00CF0BFE">
        <w:rPr>
          <w:sz w:val="26"/>
          <w:lang w:val="en-CA"/>
        </w:rPr>
        <w:t xml:space="preserve">future </w:t>
      </w:r>
      <w:r w:rsidRPr="001418B7">
        <w:rPr>
          <w:sz w:val="26"/>
          <w:lang w:val="en-CA"/>
        </w:rPr>
        <w:t>access to retainable records</w:t>
      </w:r>
      <w:r w:rsidR="00CF0BFE">
        <w:rPr>
          <w:sz w:val="26"/>
          <w:lang w:val="en-CA"/>
        </w:rPr>
        <w:t xml:space="preserve"> </w:t>
      </w:r>
      <w:r w:rsidR="00280B78">
        <w:rPr>
          <w:sz w:val="26"/>
          <w:lang w:val="en-CA"/>
        </w:rPr>
        <w:t>by a</w:t>
      </w:r>
      <w:r w:rsidR="00533DE0" w:rsidRPr="001418B7">
        <w:rPr>
          <w:sz w:val="26"/>
          <w:lang w:val="en-CA"/>
        </w:rPr>
        <w:t xml:space="preserve"> legislative standing committee</w:t>
      </w:r>
      <w:r w:rsidR="00280B78">
        <w:rPr>
          <w:sz w:val="26"/>
          <w:lang w:val="en-CA"/>
        </w:rPr>
        <w:t>.</w:t>
      </w:r>
      <w:r w:rsidR="00AA6D15" w:rsidRPr="001418B7">
        <w:rPr>
          <w:sz w:val="26"/>
          <w:lang w:val="en-CA"/>
        </w:rPr>
        <w:t xml:space="preserve"> Depriving the legislative committee of information</w:t>
      </w:r>
      <w:r w:rsidR="00860463" w:rsidRPr="001418B7">
        <w:rPr>
          <w:sz w:val="26"/>
          <w:lang w:val="en-CA"/>
        </w:rPr>
        <w:t xml:space="preserve"> to which</w:t>
      </w:r>
      <w:r w:rsidR="001B7D6B">
        <w:rPr>
          <w:sz w:val="26"/>
          <w:lang w:val="en-CA"/>
        </w:rPr>
        <w:t xml:space="preserve"> it was</w:t>
      </w:r>
      <w:r w:rsidR="001E32DE">
        <w:rPr>
          <w:sz w:val="26"/>
          <w:lang w:val="en-CA"/>
        </w:rPr>
        <w:t xml:space="preserve"> </w:t>
      </w:r>
      <w:r w:rsidR="00A83B15">
        <w:rPr>
          <w:sz w:val="26"/>
          <w:lang w:val="en-CA"/>
        </w:rPr>
        <w:t xml:space="preserve">entitled </w:t>
      </w:r>
      <w:r w:rsidR="005765C0" w:rsidRPr="001418B7">
        <w:rPr>
          <w:sz w:val="26"/>
          <w:lang w:val="en-CA"/>
        </w:rPr>
        <w:lastRenderedPageBreak/>
        <w:t>constitutes a direct interference</w:t>
      </w:r>
      <w:r w:rsidR="00AA6D15" w:rsidRPr="001418B7">
        <w:rPr>
          <w:sz w:val="26"/>
          <w:lang w:val="en-CA"/>
        </w:rPr>
        <w:t xml:space="preserve"> with the parliamentary process.</w:t>
      </w:r>
      <w:r w:rsidR="00A419B1">
        <w:rPr>
          <w:sz w:val="26"/>
          <w:lang w:val="en-CA"/>
        </w:rPr>
        <w:t xml:space="preserve"> In orchestrating the wiping of the hard drives in this context, the defendant’s conduct was egregious and his </w:t>
      </w:r>
      <w:r w:rsidR="001B7D6B">
        <w:rPr>
          <w:sz w:val="26"/>
          <w:lang w:val="en-CA"/>
        </w:rPr>
        <w:t xml:space="preserve">degree of </w:t>
      </w:r>
      <w:r w:rsidR="00A419B1">
        <w:rPr>
          <w:sz w:val="26"/>
          <w:lang w:val="en-CA"/>
        </w:rPr>
        <w:t>responsibility high.</w:t>
      </w:r>
    </w:p>
    <w:p w:rsidR="002F6EC0" w:rsidRDefault="00663EB6" w:rsidP="002F6EC0">
      <w:pPr>
        <w:pStyle w:val="MAINPARAGRAPH"/>
        <w:rPr>
          <w:sz w:val="26"/>
          <w:lang w:val="en-CA"/>
        </w:rPr>
      </w:pPr>
      <w:r w:rsidRPr="001418B7">
        <w:rPr>
          <w:sz w:val="26"/>
          <w:lang w:val="en-CA"/>
        </w:rPr>
        <w:t xml:space="preserve"> </w:t>
      </w:r>
      <w:r w:rsidR="0016797F">
        <w:rPr>
          <w:sz w:val="26"/>
          <w:lang w:val="en-CA"/>
        </w:rPr>
        <w:t>I am not persuaded</w:t>
      </w:r>
      <w:r w:rsidR="00640AE6">
        <w:rPr>
          <w:sz w:val="26"/>
          <w:lang w:val="en-CA"/>
        </w:rPr>
        <w:t xml:space="preserve"> by counsel’s submission that the defendant was</w:t>
      </w:r>
      <w:r w:rsidR="00AA21F4">
        <w:rPr>
          <w:sz w:val="26"/>
          <w:lang w:val="en-CA"/>
        </w:rPr>
        <w:t xml:space="preserve"> in an “</w:t>
      </w:r>
      <w:r w:rsidR="0067505C" w:rsidRPr="001418B7">
        <w:rPr>
          <w:sz w:val="26"/>
          <w:lang w:val="en-CA"/>
        </w:rPr>
        <w:t xml:space="preserve">unfamiliar environment” when he committed the offence, having had no prior experience in politics or connection with a </w:t>
      </w:r>
      <w:r w:rsidR="00ED1646">
        <w:rPr>
          <w:sz w:val="26"/>
          <w:lang w:val="en-CA"/>
        </w:rPr>
        <w:t>political party before becoming</w:t>
      </w:r>
      <w:r w:rsidR="0070063C">
        <w:rPr>
          <w:sz w:val="26"/>
          <w:lang w:val="en-CA"/>
        </w:rPr>
        <w:t xml:space="preserve"> </w:t>
      </w:r>
      <w:r w:rsidR="00E9187B" w:rsidRPr="001418B7">
        <w:rPr>
          <w:sz w:val="26"/>
          <w:lang w:val="en-CA"/>
        </w:rPr>
        <w:t>Chief of Staff.</w:t>
      </w:r>
      <w:r w:rsidR="002F6EC0">
        <w:rPr>
          <w:sz w:val="26"/>
          <w:lang w:val="en-CA"/>
        </w:rPr>
        <w:t xml:space="preserve"> </w:t>
      </w:r>
      <w:r w:rsidR="00FD2E30" w:rsidRPr="002F6EC0">
        <w:rPr>
          <w:sz w:val="26"/>
          <w:lang w:val="en-CA"/>
        </w:rPr>
        <w:t>While Mr. Livingston may not have been immerse</w:t>
      </w:r>
      <w:r w:rsidR="00310282" w:rsidRPr="002F6EC0">
        <w:rPr>
          <w:sz w:val="26"/>
          <w:lang w:val="en-CA"/>
        </w:rPr>
        <w:t xml:space="preserve">d in the world of party politics </w:t>
      </w:r>
      <w:r w:rsidR="00147630" w:rsidRPr="002F6EC0">
        <w:rPr>
          <w:sz w:val="26"/>
          <w:lang w:val="en-CA"/>
        </w:rPr>
        <w:t>prior to</w:t>
      </w:r>
      <w:r w:rsidR="009002A5" w:rsidRPr="002F6EC0">
        <w:rPr>
          <w:sz w:val="26"/>
          <w:lang w:val="en-CA"/>
        </w:rPr>
        <w:t xml:space="preserve"> becoming Chief of Staff</w:t>
      </w:r>
      <w:r w:rsidR="00397045" w:rsidRPr="002F6EC0">
        <w:rPr>
          <w:sz w:val="26"/>
          <w:lang w:val="en-CA"/>
        </w:rPr>
        <w:t>, he certainly</w:t>
      </w:r>
      <w:r w:rsidR="009808CA" w:rsidRPr="002F6EC0">
        <w:rPr>
          <w:sz w:val="26"/>
          <w:lang w:val="en-CA"/>
        </w:rPr>
        <w:t xml:space="preserve"> had a great deal of </w:t>
      </w:r>
      <w:r w:rsidR="00310282" w:rsidRPr="002F6EC0">
        <w:rPr>
          <w:sz w:val="26"/>
          <w:lang w:val="en-CA"/>
        </w:rPr>
        <w:t xml:space="preserve">knowledge of and </w:t>
      </w:r>
      <w:r w:rsidR="009808CA" w:rsidRPr="002F6EC0">
        <w:rPr>
          <w:sz w:val="26"/>
          <w:lang w:val="en-CA"/>
        </w:rPr>
        <w:t>experience with the workings of government in his years a</w:t>
      </w:r>
      <w:r w:rsidR="00F10FE3" w:rsidRPr="002F6EC0">
        <w:rPr>
          <w:sz w:val="26"/>
          <w:lang w:val="en-CA"/>
        </w:rPr>
        <w:t>s head of Infrastructure Ontario, a major</w:t>
      </w:r>
      <w:r w:rsidR="006268B7" w:rsidRPr="002F6EC0">
        <w:rPr>
          <w:sz w:val="26"/>
          <w:lang w:val="en-CA"/>
        </w:rPr>
        <w:t xml:space="preserve"> Crown Corporation.</w:t>
      </w:r>
      <w:r w:rsidR="0048222D" w:rsidRPr="002F6EC0">
        <w:rPr>
          <w:sz w:val="26"/>
          <w:lang w:val="en-CA"/>
        </w:rPr>
        <w:t xml:space="preserve"> He </w:t>
      </w:r>
      <w:r w:rsidR="006A4F2B" w:rsidRPr="002F6EC0">
        <w:rPr>
          <w:sz w:val="26"/>
          <w:lang w:val="en-CA"/>
        </w:rPr>
        <w:t>was hardly a newcomer to the public sector when he became the Premier’</w:t>
      </w:r>
      <w:r w:rsidR="00271961" w:rsidRPr="002F6EC0">
        <w:rPr>
          <w:sz w:val="26"/>
          <w:lang w:val="en-CA"/>
        </w:rPr>
        <w:t>s chief</w:t>
      </w:r>
      <w:r w:rsidR="006A4F2B" w:rsidRPr="002F6EC0">
        <w:rPr>
          <w:sz w:val="26"/>
          <w:lang w:val="en-CA"/>
        </w:rPr>
        <w:t xml:space="preserve"> political advisor</w:t>
      </w:r>
      <w:r w:rsidR="0048222D" w:rsidRPr="002F6EC0">
        <w:rPr>
          <w:sz w:val="26"/>
          <w:lang w:val="en-CA"/>
        </w:rPr>
        <w:t>. As well, the evidence establishes</w:t>
      </w:r>
      <w:r w:rsidR="00271961" w:rsidRPr="002F6EC0">
        <w:rPr>
          <w:sz w:val="26"/>
          <w:lang w:val="en-CA"/>
        </w:rPr>
        <w:t xml:space="preserve"> that senior government</w:t>
      </w:r>
      <w:r w:rsidR="0048222D" w:rsidRPr="002F6EC0">
        <w:rPr>
          <w:sz w:val="26"/>
          <w:lang w:val="en-CA"/>
        </w:rPr>
        <w:t xml:space="preserve"> officials attempted to school</w:t>
      </w:r>
      <w:r w:rsidR="00E431A4" w:rsidRPr="002F6EC0">
        <w:rPr>
          <w:sz w:val="26"/>
          <w:lang w:val="en-CA"/>
        </w:rPr>
        <w:t xml:space="preserve"> Mr. Livingston</w:t>
      </w:r>
      <w:r w:rsidR="008C1476" w:rsidRPr="002F6EC0">
        <w:rPr>
          <w:sz w:val="26"/>
          <w:lang w:val="en-CA"/>
        </w:rPr>
        <w:t xml:space="preserve"> early on in his tenure regarding</w:t>
      </w:r>
      <w:r w:rsidR="00E431A4" w:rsidRPr="002F6EC0">
        <w:rPr>
          <w:sz w:val="26"/>
          <w:lang w:val="en-CA"/>
        </w:rPr>
        <w:t xml:space="preserve"> the powers of </w:t>
      </w:r>
      <w:r w:rsidR="004B313F" w:rsidRPr="002F6EC0">
        <w:rPr>
          <w:sz w:val="26"/>
          <w:lang w:val="en-CA"/>
        </w:rPr>
        <w:t>the Standing Committee to compel produ</w:t>
      </w:r>
      <w:r w:rsidR="00E5583E" w:rsidRPr="002F6EC0">
        <w:rPr>
          <w:sz w:val="26"/>
          <w:lang w:val="en-CA"/>
        </w:rPr>
        <w:t xml:space="preserve">ction </w:t>
      </w:r>
      <w:r w:rsidR="008C1476" w:rsidRPr="002F6EC0">
        <w:rPr>
          <w:sz w:val="26"/>
          <w:lang w:val="en-CA"/>
        </w:rPr>
        <w:t xml:space="preserve">of relevant </w:t>
      </w:r>
      <w:r w:rsidR="00E5583E" w:rsidRPr="002F6EC0">
        <w:rPr>
          <w:sz w:val="26"/>
          <w:lang w:val="en-CA"/>
        </w:rPr>
        <w:t>documents</w:t>
      </w:r>
      <w:r w:rsidR="009002A5" w:rsidRPr="002F6EC0">
        <w:rPr>
          <w:sz w:val="26"/>
          <w:lang w:val="en-CA"/>
        </w:rPr>
        <w:t>,</w:t>
      </w:r>
      <w:r w:rsidR="008C1476" w:rsidRPr="002F6EC0">
        <w:rPr>
          <w:sz w:val="26"/>
          <w:lang w:val="en-CA"/>
        </w:rPr>
        <w:t xml:space="preserve"> as well as the obligation</w:t>
      </w:r>
      <w:r w:rsidR="00E65CAD" w:rsidRPr="002F6EC0">
        <w:rPr>
          <w:sz w:val="26"/>
          <w:lang w:val="en-CA"/>
        </w:rPr>
        <w:t xml:space="preserve"> of the OPO to retain relevant records. </w:t>
      </w:r>
    </w:p>
    <w:p w:rsidR="00620708" w:rsidRPr="002F6EC0" w:rsidRDefault="00E65CAD" w:rsidP="002F6EC0">
      <w:pPr>
        <w:pStyle w:val="MAINPARAGRAPH"/>
        <w:rPr>
          <w:sz w:val="26"/>
          <w:lang w:val="en-CA"/>
        </w:rPr>
      </w:pPr>
      <w:r w:rsidRPr="002F6EC0">
        <w:rPr>
          <w:sz w:val="26"/>
          <w:lang w:val="en-CA"/>
        </w:rPr>
        <w:t>M</w:t>
      </w:r>
      <w:r w:rsidR="00B32977" w:rsidRPr="002F6EC0">
        <w:rPr>
          <w:sz w:val="26"/>
          <w:lang w:val="en-CA"/>
        </w:rPr>
        <w:t>r. Livingston</w:t>
      </w:r>
      <w:r w:rsidR="002F6EC0">
        <w:rPr>
          <w:sz w:val="26"/>
          <w:lang w:val="en-CA"/>
        </w:rPr>
        <w:t>, however,</w:t>
      </w:r>
      <w:r w:rsidR="00917927" w:rsidRPr="002F6EC0">
        <w:rPr>
          <w:sz w:val="26"/>
          <w:lang w:val="en-CA"/>
        </w:rPr>
        <w:t xml:space="preserve"> developed his own ideas early on. He called the</w:t>
      </w:r>
      <w:r w:rsidR="00B32977" w:rsidRPr="002F6EC0">
        <w:rPr>
          <w:sz w:val="26"/>
          <w:lang w:val="en-CA"/>
        </w:rPr>
        <w:t xml:space="preserve"> legal obligation to disclose “political bullshit</w:t>
      </w:r>
      <w:r w:rsidR="00712F5E" w:rsidRPr="002F6EC0">
        <w:rPr>
          <w:sz w:val="26"/>
          <w:lang w:val="en-CA"/>
        </w:rPr>
        <w:t xml:space="preserve">”. He thought the power of the Committee to compel production was “ridiculous”. </w:t>
      </w:r>
    </w:p>
    <w:p w:rsidR="007866C5" w:rsidRPr="001418B7" w:rsidRDefault="00E851D1" w:rsidP="0067505C">
      <w:pPr>
        <w:pStyle w:val="MAINPARAGRAPH"/>
        <w:rPr>
          <w:sz w:val="26"/>
          <w:lang w:val="en-CA"/>
        </w:rPr>
      </w:pPr>
      <w:r w:rsidRPr="001418B7">
        <w:rPr>
          <w:sz w:val="26"/>
          <w:lang w:val="en-CA"/>
        </w:rPr>
        <w:t>When Mr. Livingston sought Mr. Wallace’s authorization for administrative rights</w:t>
      </w:r>
      <w:r w:rsidR="00716AEA">
        <w:rPr>
          <w:sz w:val="26"/>
          <w:lang w:val="en-CA"/>
        </w:rPr>
        <w:t xml:space="preserve"> to OPO computers</w:t>
      </w:r>
      <w:r w:rsidR="002B5BDB" w:rsidRPr="001418B7">
        <w:rPr>
          <w:sz w:val="26"/>
          <w:lang w:val="en-CA"/>
        </w:rPr>
        <w:t xml:space="preserve"> in late January 2013</w:t>
      </w:r>
      <w:r w:rsidR="00917927">
        <w:rPr>
          <w:sz w:val="26"/>
          <w:lang w:val="en-CA"/>
        </w:rPr>
        <w:t xml:space="preserve">, the Secretary </w:t>
      </w:r>
      <w:r w:rsidR="00DB68A1" w:rsidRPr="001418B7">
        <w:rPr>
          <w:sz w:val="26"/>
          <w:lang w:val="en-CA"/>
        </w:rPr>
        <w:t>warned him not to eliminate retainable records</w:t>
      </w:r>
      <w:r w:rsidR="00D5268E">
        <w:rPr>
          <w:sz w:val="26"/>
          <w:lang w:val="en-CA"/>
        </w:rPr>
        <w:t>,</w:t>
      </w:r>
      <w:r w:rsidR="00DB68A1" w:rsidRPr="001418B7">
        <w:rPr>
          <w:sz w:val="26"/>
          <w:lang w:val="en-CA"/>
        </w:rPr>
        <w:t xml:space="preserve"> saying</w:t>
      </w:r>
      <w:r w:rsidR="002F6EC0">
        <w:rPr>
          <w:sz w:val="26"/>
          <w:lang w:val="en-CA"/>
        </w:rPr>
        <w:t>, “T</w:t>
      </w:r>
      <w:r w:rsidR="00DB68A1" w:rsidRPr="001418B7">
        <w:rPr>
          <w:sz w:val="26"/>
          <w:lang w:val="en-CA"/>
        </w:rPr>
        <w:t>he only type of organization that doesn’t keep records was a criminal organization”.</w:t>
      </w:r>
      <w:r w:rsidR="00D5268E">
        <w:rPr>
          <w:sz w:val="26"/>
          <w:lang w:val="en-CA"/>
        </w:rPr>
        <w:t xml:space="preserve"> On January 31, </w:t>
      </w:r>
      <w:r w:rsidR="006F30EA" w:rsidRPr="001418B7">
        <w:rPr>
          <w:sz w:val="26"/>
          <w:lang w:val="en-CA"/>
        </w:rPr>
        <w:t>Mr. Livingston was advised</w:t>
      </w:r>
      <w:r w:rsidR="004A20CB" w:rsidRPr="001418B7">
        <w:rPr>
          <w:sz w:val="26"/>
          <w:lang w:val="en-CA"/>
        </w:rPr>
        <w:t xml:space="preserve"> yet again, in writing and over the telephone, to preserve re</w:t>
      </w:r>
      <w:r w:rsidR="00740B54" w:rsidRPr="001418B7">
        <w:rPr>
          <w:sz w:val="26"/>
          <w:lang w:val="en-CA"/>
        </w:rPr>
        <w:t xml:space="preserve">tainable records. </w:t>
      </w:r>
      <w:r w:rsidR="00716AEA">
        <w:rPr>
          <w:sz w:val="26"/>
          <w:lang w:val="en-CA"/>
        </w:rPr>
        <w:t>Against that advice, the defendant</w:t>
      </w:r>
      <w:r w:rsidR="00851B52" w:rsidRPr="001418B7">
        <w:rPr>
          <w:sz w:val="26"/>
          <w:lang w:val="en-CA"/>
        </w:rPr>
        <w:t xml:space="preserve"> deliberately directed the deletion of </w:t>
      </w:r>
      <w:r w:rsidR="00580066">
        <w:rPr>
          <w:sz w:val="26"/>
          <w:lang w:val="en-CA"/>
        </w:rPr>
        <w:t>e-mail</w:t>
      </w:r>
      <w:r w:rsidR="00851B52" w:rsidRPr="001418B7">
        <w:rPr>
          <w:sz w:val="26"/>
          <w:lang w:val="en-CA"/>
        </w:rPr>
        <w:t xml:space="preserve">s and wiping of </w:t>
      </w:r>
      <w:r w:rsidR="002B5BDB" w:rsidRPr="001418B7">
        <w:rPr>
          <w:sz w:val="26"/>
          <w:lang w:val="en-CA"/>
        </w:rPr>
        <w:t xml:space="preserve">OPO computer </w:t>
      </w:r>
      <w:r w:rsidR="00851B52" w:rsidRPr="001418B7">
        <w:rPr>
          <w:sz w:val="26"/>
          <w:lang w:val="en-CA"/>
        </w:rPr>
        <w:t>hard drive</w:t>
      </w:r>
      <w:r w:rsidR="004C1A4E">
        <w:rPr>
          <w:sz w:val="26"/>
          <w:lang w:val="en-CA"/>
        </w:rPr>
        <w:t>s to ensure that records relating</w:t>
      </w:r>
      <w:r w:rsidR="00851B52" w:rsidRPr="001418B7">
        <w:rPr>
          <w:sz w:val="26"/>
          <w:lang w:val="en-CA"/>
        </w:rPr>
        <w:t xml:space="preserve"> to the gas plant controversy </w:t>
      </w:r>
      <w:r w:rsidR="002B5BDB" w:rsidRPr="001418B7">
        <w:rPr>
          <w:sz w:val="26"/>
          <w:lang w:val="en-CA"/>
        </w:rPr>
        <w:t>were destroyed. Largely as a result</w:t>
      </w:r>
      <w:r w:rsidR="007866C5" w:rsidRPr="001418B7">
        <w:rPr>
          <w:sz w:val="26"/>
          <w:lang w:val="en-CA"/>
        </w:rPr>
        <w:t xml:space="preserve"> of his </w:t>
      </w:r>
      <w:r w:rsidR="009922FC" w:rsidRPr="001418B7">
        <w:rPr>
          <w:sz w:val="26"/>
          <w:lang w:val="en-CA"/>
        </w:rPr>
        <w:t xml:space="preserve">powerful position, the defendant </w:t>
      </w:r>
      <w:r w:rsidR="007866C5" w:rsidRPr="001418B7">
        <w:rPr>
          <w:sz w:val="26"/>
          <w:lang w:val="en-CA"/>
        </w:rPr>
        <w:t xml:space="preserve">was able to </w:t>
      </w:r>
      <w:r w:rsidR="00116DF8" w:rsidRPr="001418B7">
        <w:rPr>
          <w:sz w:val="26"/>
          <w:lang w:val="en-CA"/>
        </w:rPr>
        <w:t>influence</w:t>
      </w:r>
      <w:r w:rsidR="00C55407" w:rsidRPr="001418B7">
        <w:rPr>
          <w:sz w:val="26"/>
          <w:lang w:val="en-CA"/>
        </w:rPr>
        <w:t xml:space="preserve"> the Secretary of Cabinet</w:t>
      </w:r>
      <w:r w:rsidR="00116DF8" w:rsidRPr="001418B7">
        <w:rPr>
          <w:sz w:val="26"/>
          <w:lang w:val="en-CA"/>
        </w:rPr>
        <w:t xml:space="preserve"> </w:t>
      </w:r>
      <w:r w:rsidR="00AB13CA">
        <w:rPr>
          <w:sz w:val="26"/>
          <w:lang w:val="en-CA"/>
        </w:rPr>
        <w:t>through dishonest</w:t>
      </w:r>
      <w:r w:rsidR="005236E5" w:rsidRPr="001418B7">
        <w:rPr>
          <w:sz w:val="26"/>
          <w:lang w:val="en-CA"/>
        </w:rPr>
        <w:t xml:space="preserve"> means </w:t>
      </w:r>
      <w:r w:rsidR="00C55407" w:rsidRPr="001418B7">
        <w:rPr>
          <w:sz w:val="26"/>
          <w:lang w:val="en-CA"/>
        </w:rPr>
        <w:t>into gr</w:t>
      </w:r>
      <w:r w:rsidR="005236E5" w:rsidRPr="001418B7">
        <w:rPr>
          <w:sz w:val="26"/>
          <w:lang w:val="en-CA"/>
        </w:rPr>
        <w:t>anting him the authorization</w:t>
      </w:r>
      <w:r w:rsidR="004C1A4E">
        <w:rPr>
          <w:sz w:val="26"/>
          <w:lang w:val="en-CA"/>
        </w:rPr>
        <w:t>,</w:t>
      </w:r>
      <w:r w:rsidR="005236E5" w:rsidRPr="001418B7">
        <w:rPr>
          <w:sz w:val="26"/>
          <w:lang w:val="en-CA"/>
        </w:rPr>
        <w:t xml:space="preserve"> without which the offence could not have been committed.</w:t>
      </w:r>
      <w:r w:rsidR="00C55407" w:rsidRPr="001418B7">
        <w:rPr>
          <w:sz w:val="26"/>
          <w:lang w:val="en-CA"/>
        </w:rPr>
        <w:t xml:space="preserve"> </w:t>
      </w:r>
    </w:p>
    <w:p w:rsidR="007D79A6" w:rsidRDefault="005236E5" w:rsidP="007D79A6">
      <w:pPr>
        <w:pStyle w:val="MAINPARAGRAPH"/>
        <w:rPr>
          <w:sz w:val="26"/>
          <w:lang w:val="en-CA"/>
        </w:rPr>
      </w:pPr>
      <w:r w:rsidRPr="001418B7">
        <w:rPr>
          <w:sz w:val="26"/>
          <w:lang w:val="en-CA"/>
        </w:rPr>
        <w:t xml:space="preserve"> </w:t>
      </w:r>
      <w:r w:rsidR="00580066">
        <w:rPr>
          <w:sz w:val="26"/>
          <w:lang w:val="en-CA"/>
        </w:rPr>
        <w:t xml:space="preserve">In my view, </w:t>
      </w:r>
      <w:r w:rsidRPr="001418B7">
        <w:rPr>
          <w:sz w:val="26"/>
          <w:lang w:val="en-CA"/>
        </w:rPr>
        <w:t>Mr. Livingston</w:t>
      </w:r>
      <w:r w:rsidR="009922FC" w:rsidRPr="001418B7">
        <w:rPr>
          <w:sz w:val="26"/>
          <w:lang w:val="en-CA"/>
        </w:rPr>
        <w:t xml:space="preserve"> cannot now </w:t>
      </w:r>
      <w:r w:rsidR="00DC451C" w:rsidRPr="001418B7">
        <w:rPr>
          <w:sz w:val="26"/>
          <w:lang w:val="en-CA"/>
        </w:rPr>
        <w:t>attribu</w:t>
      </w:r>
      <w:r w:rsidR="009922FC" w:rsidRPr="001418B7">
        <w:rPr>
          <w:sz w:val="26"/>
          <w:lang w:val="en-CA"/>
        </w:rPr>
        <w:t>te his criminal conduct</w:t>
      </w:r>
      <w:r w:rsidR="00DC451C" w:rsidRPr="001418B7">
        <w:rPr>
          <w:sz w:val="26"/>
          <w:lang w:val="en-CA"/>
        </w:rPr>
        <w:t xml:space="preserve"> to </w:t>
      </w:r>
      <w:r w:rsidR="00865305" w:rsidRPr="001418B7">
        <w:rPr>
          <w:sz w:val="26"/>
          <w:lang w:val="en-CA"/>
        </w:rPr>
        <w:t xml:space="preserve">his inexperience </w:t>
      </w:r>
      <w:r w:rsidR="00243418" w:rsidRPr="001418B7">
        <w:rPr>
          <w:sz w:val="26"/>
          <w:lang w:val="en-CA"/>
        </w:rPr>
        <w:t>in the Premier’s Of</w:t>
      </w:r>
      <w:r w:rsidR="00D5268E">
        <w:rPr>
          <w:sz w:val="26"/>
          <w:lang w:val="en-CA"/>
        </w:rPr>
        <w:t xml:space="preserve">fice, </w:t>
      </w:r>
      <w:r w:rsidR="007C06A5" w:rsidRPr="001418B7">
        <w:rPr>
          <w:sz w:val="26"/>
          <w:lang w:val="en-CA"/>
        </w:rPr>
        <w:t>or political naiveté</w:t>
      </w:r>
      <w:r w:rsidR="003D5896" w:rsidRPr="001418B7">
        <w:rPr>
          <w:sz w:val="26"/>
          <w:lang w:val="en-CA"/>
        </w:rPr>
        <w:t>.</w:t>
      </w:r>
      <w:r w:rsidR="00763A9D" w:rsidRPr="001418B7">
        <w:rPr>
          <w:sz w:val="26"/>
          <w:lang w:val="en-CA"/>
        </w:rPr>
        <w:t xml:space="preserve"> The e</w:t>
      </w:r>
      <w:r w:rsidR="007C06A5" w:rsidRPr="001418B7">
        <w:rPr>
          <w:sz w:val="26"/>
          <w:lang w:val="en-CA"/>
        </w:rPr>
        <w:t>vidence in this trial, particularly the e</w:t>
      </w:r>
      <w:r w:rsidR="00580066">
        <w:rPr>
          <w:sz w:val="26"/>
          <w:lang w:val="en-CA"/>
        </w:rPr>
        <w:t>-</w:t>
      </w:r>
      <w:r w:rsidR="007C06A5" w:rsidRPr="001418B7">
        <w:rPr>
          <w:sz w:val="26"/>
          <w:lang w:val="en-CA"/>
        </w:rPr>
        <w:t>mail trail</w:t>
      </w:r>
      <w:r w:rsidR="000F685B" w:rsidRPr="001418B7">
        <w:rPr>
          <w:sz w:val="26"/>
          <w:lang w:val="en-CA"/>
        </w:rPr>
        <w:t>, establish</w:t>
      </w:r>
      <w:r w:rsidR="00D5268E">
        <w:rPr>
          <w:sz w:val="26"/>
          <w:lang w:val="en-CA"/>
        </w:rPr>
        <w:t>es</w:t>
      </w:r>
      <w:r w:rsidR="000F685B" w:rsidRPr="001418B7">
        <w:rPr>
          <w:sz w:val="26"/>
          <w:lang w:val="en-CA"/>
        </w:rPr>
        <w:t xml:space="preserve"> that</w:t>
      </w:r>
      <w:r w:rsidR="003D5896" w:rsidRPr="001418B7">
        <w:rPr>
          <w:sz w:val="26"/>
          <w:lang w:val="en-CA"/>
        </w:rPr>
        <w:t xml:space="preserve"> Mr. Living</w:t>
      </w:r>
      <w:r w:rsidR="00034EEE" w:rsidRPr="001418B7">
        <w:rPr>
          <w:sz w:val="26"/>
          <w:lang w:val="en-CA"/>
        </w:rPr>
        <w:t>ston was a</w:t>
      </w:r>
      <w:r w:rsidR="00763A9D" w:rsidRPr="001418B7">
        <w:rPr>
          <w:sz w:val="26"/>
          <w:lang w:val="en-CA"/>
        </w:rPr>
        <w:t xml:space="preserve"> politically </w:t>
      </w:r>
      <w:r w:rsidR="00923887" w:rsidRPr="001418B7">
        <w:rPr>
          <w:sz w:val="26"/>
          <w:lang w:val="en-CA"/>
        </w:rPr>
        <w:t>sophisticated government</w:t>
      </w:r>
      <w:r w:rsidR="00E357E5">
        <w:rPr>
          <w:sz w:val="26"/>
          <w:lang w:val="en-CA"/>
        </w:rPr>
        <w:t xml:space="preserve"> actor who committed </w:t>
      </w:r>
      <w:r w:rsidR="0023493E">
        <w:rPr>
          <w:sz w:val="26"/>
          <w:lang w:val="en-CA"/>
        </w:rPr>
        <w:t xml:space="preserve">this </w:t>
      </w:r>
      <w:r w:rsidR="00DB1BB0" w:rsidRPr="001418B7">
        <w:rPr>
          <w:sz w:val="26"/>
          <w:lang w:val="en-CA"/>
        </w:rPr>
        <w:t>offence because of</w:t>
      </w:r>
      <w:r w:rsidR="00B52AD8" w:rsidRPr="001418B7">
        <w:rPr>
          <w:sz w:val="26"/>
          <w:lang w:val="en-CA"/>
        </w:rPr>
        <w:t xml:space="preserve"> political expedienc</w:t>
      </w:r>
      <w:r w:rsidR="00AB13CA">
        <w:rPr>
          <w:sz w:val="26"/>
          <w:lang w:val="en-CA"/>
        </w:rPr>
        <w:t>y</w:t>
      </w:r>
      <w:r w:rsidR="0023493E">
        <w:rPr>
          <w:sz w:val="26"/>
          <w:lang w:val="en-CA"/>
        </w:rPr>
        <w:t>,</w:t>
      </w:r>
      <w:r w:rsidR="009072FC">
        <w:rPr>
          <w:sz w:val="26"/>
          <w:lang w:val="en-CA"/>
        </w:rPr>
        <w:t xml:space="preserve"> rather than</w:t>
      </w:r>
      <w:r w:rsidR="00347894" w:rsidRPr="001418B7">
        <w:rPr>
          <w:sz w:val="26"/>
          <w:lang w:val="en-CA"/>
        </w:rPr>
        <w:t xml:space="preserve"> </w:t>
      </w:r>
      <w:r w:rsidR="0023493E">
        <w:rPr>
          <w:sz w:val="26"/>
          <w:lang w:val="en-CA"/>
        </w:rPr>
        <w:t>fulfilling</w:t>
      </w:r>
      <w:r w:rsidR="004A353F" w:rsidRPr="001418B7">
        <w:rPr>
          <w:sz w:val="26"/>
          <w:lang w:val="en-CA"/>
        </w:rPr>
        <w:t xml:space="preserve"> his responsibility to</w:t>
      </w:r>
      <w:r w:rsidR="00FF51E9" w:rsidRPr="001418B7">
        <w:rPr>
          <w:sz w:val="26"/>
          <w:lang w:val="en-CA"/>
        </w:rPr>
        <w:t xml:space="preserve"> conduct himself within the law.</w:t>
      </w:r>
    </w:p>
    <w:p w:rsidR="007D79A6" w:rsidRDefault="00740B54" w:rsidP="007D79A6">
      <w:pPr>
        <w:pStyle w:val="MAINPARAGRAPH"/>
        <w:numPr>
          <w:ilvl w:val="0"/>
          <w:numId w:val="0"/>
        </w:numPr>
        <w:rPr>
          <w:sz w:val="26"/>
          <w:lang w:val="en-CA"/>
        </w:rPr>
      </w:pPr>
      <w:r w:rsidRPr="001418B7">
        <w:rPr>
          <w:sz w:val="26"/>
          <w:lang w:val="en-CA"/>
        </w:rPr>
        <w:t xml:space="preserve"> </w:t>
      </w:r>
    </w:p>
    <w:p w:rsidR="00B94F7F" w:rsidRDefault="00B94F7F" w:rsidP="000C15D7">
      <w:pPr>
        <w:pStyle w:val="MAINPARAGRAPH"/>
        <w:numPr>
          <w:ilvl w:val="0"/>
          <w:numId w:val="0"/>
        </w:numPr>
        <w:rPr>
          <w:b/>
          <w:sz w:val="26"/>
          <w:lang w:val="en-CA"/>
        </w:rPr>
      </w:pPr>
    </w:p>
    <w:p w:rsidR="00B94F7F" w:rsidRDefault="00B94F7F" w:rsidP="000C15D7">
      <w:pPr>
        <w:pStyle w:val="MAINPARAGRAPH"/>
        <w:numPr>
          <w:ilvl w:val="0"/>
          <w:numId w:val="0"/>
        </w:numPr>
        <w:rPr>
          <w:b/>
          <w:sz w:val="26"/>
          <w:lang w:val="en-CA"/>
        </w:rPr>
      </w:pPr>
    </w:p>
    <w:p w:rsidR="007A6B34" w:rsidRDefault="007A6B34" w:rsidP="000C15D7">
      <w:pPr>
        <w:pStyle w:val="MAINPARAGRAPH"/>
        <w:numPr>
          <w:ilvl w:val="0"/>
          <w:numId w:val="0"/>
        </w:numPr>
        <w:rPr>
          <w:b/>
          <w:sz w:val="26"/>
          <w:lang w:val="en-CA"/>
        </w:rPr>
      </w:pPr>
    </w:p>
    <w:p w:rsidR="007D79A6" w:rsidRDefault="001C0001" w:rsidP="000C15D7">
      <w:pPr>
        <w:pStyle w:val="MAINPARAGRAPH"/>
        <w:numPr>
          <w:ilvl w:val="0"/>
          <w:numId w:val="0"/>
        </w:numPr>
        <w:rPr>
          <w:sz w:val="26"/>
          <w:lang w:val="en-CA"/>
        </w:rPr>
      </w:pPr>
      <w:r w:rsidRPr="007D79A6">
        <w:rPr>
          <w:b/>
          <w:sz w:val="26"/>
          <w:lang w:val="en-CA"/>
        </w:rPr>
        <w:lastRenderedPageBreak/>
        <w:t>What is a fit sentence in this case?</w:t>
      </w:r>
      <w:r w:rsidR="00325118" w:rsidRPr="007D79A6">
        <w:rPr>
          <w:b/>
          <w:sz w:val="26"/>
          <w:lang w:val="en-CA"/>
        </w:rPr>
        <w:t xml:space="preserve"> </w:t>
      </w:r>
    </w:p>
    <w:p w:rsidR="007D2282" w:rsidRPr="007D79A6" w:rsidRDefault="007D2282" w:rsidP="007D79A6">
      <w:pPr>
        <w:pStyle w:val="MAINPARAGRAPH"/>
        <w:rPr>
          <w:sz w:val="26"/>
          <w:lang w:val="en-CA"/>
        </w:rPr>
      </w:pPr>
      <w:r w:rsidRPr="007D79A6">
        <w:rPr>
          <w:sz w:val="26"/>
          <w:lang w:val="en-CA"/>
        </w:rPr>
        <w:t>The Crown and defence are far apart in their</w:t>
      </w:r>
      <w:r w:rsidR="00B94F7F">
        <w:rPr>
          <w:sz w:val="26"/>
          <w:lang w:val="en-CA"/>
        </w:rPr>
        <w:t xml:space="preserve"> respective positions. The prosecution</w:t>
      </w:r>
      <w:r w:rsidRPr="007D79A6">
        <w:rPr>
          <w:sz w:val="26"/>
          <w:lang w:val="en-CA"/>
        </w:rPr>
        <w:t xml:space="preserve"> seeks a sentence</w:t>
      </w:r>
      <w:r w:rsidR="001E6EA4">
        <w:rPr>
          <w:sz w:val="26"/>
          <w:lang w:val="en-CA"/>
        </w:rPr>
        <w:t xml:space="preserve"> of imprisonment within the six to twelve</w:t>
      </w:r>
      <w:r w:rsidRPr="007D79A6">
        <w:rPr>
          <w:sz w:val="26"/>
          <w:lang w:val="en-CA"/>
        </w:rPr>
        <w:t xml:space="preserve"> month range, while the defence urges the court to impose a conditional discharge.</w:t>
      </w:r>
    </w:p>
    <w:p w:rsidR="00857C16" w:rsidRPr="001418B7" w:rsidRDefault="0033370F" w:rsidP="0067505C">
      <w:pPr>
        <w:pStyle w:val="MAINPARAGRAPH"/>
        <w:rPr>
          <w:sz w:val="26"/>
          <w:lang w:val="en-CA"/>
        </w:rPr>
      </w:pPr>
      <w:r w:rsidRPr="001418B7">
        <w:rPr>
          <w:sz w:val="26"/>
          <w:lang w:val="en-CA"/>
        </w:rPr>
        <w:t>The</w:t>
      </w:r>
      <w:r w:rsidR="007C7FCD">
        <w:rPr>
          <w:sz w:val="26"/>
          <w:lang w:val="en-CA"/>
        </w:rPr>
        <w:t xml:space="preserve"> fundamental purpose of sentencing</w:t>
      </w:r>
      <w:r w:rsidRPr="001418B7">
        <w:rPr>
          <w:sz w:val="26"/>
          <w:lang w:val="en-CA"/>
        </w:rPr>
        <w:t xml:space="preserve"> is to contribute to respect for </w:t>
      </w:r>
      <w:r w:rsidR="007C7FCD">
        <w:rPr>
          <w:sz w:val="26"/>
          <w:lang w:val="en-CA"/>
        </w:rPr>
        <w:t>the law. It is a troubling</w:t>
      </w:r>
      <w:r w:rsidR="00401FC8" w:rsidRPr="001418B7">
        <w:rPr>
          <w:sz w:val="26"/>
          <w:lang w:val="en-CA"/>
        </w:rPr>
        <w:t xml:space="preserve"> fact</w:t>
      </w:r>
      <w:r w:rsidR="00347894" w:rsidRPr="001418B7">
        <w:rPr>
          <w:sz w:val="26"/>
          <w:lang w:val="en-CA"/>
        </w:rPr>
        <w:t xml:space="preserve"> in</w:t>
      </w:r>
      <w:r w:rsidR="009F75D9" w:rsidRPr="001418B7">
        <w:rPr>
          <w:sz w:val="26"/>
          <w:lang w:val="en-CA"/>
        </w:rPr>
        <w:t xml:space="preserve"> this case </w:t>
      </w:r>
      <w:r w:rsidR="004423C4" w:rsidRPr="001418B7">
        <w:rPr>
          <w:sz w:val="26"/>
          <w:lang w:val="en-CA"/>
        </w:rPr>
        <w:t xml:space="preserve">that the defendant’s </w:t>
      </w:r>
      <w:r w:rsidR="001A54DC" w:rsidRPr="001418B7">
        <w:rPr>
          <w:sz w:val="26"/>
          <w:lang w:val="en-CA"/>
        </w:rPr>
        <w:t xml:space="preserve">expressed </w:t>
      </w:r>
      <w:r w:rsidR="007C7FCD">
        <w:rPr>
          <w:sz w:val="26"/>
          <w:lang w:val="en-CA"/>
        </w:rPr>
        <w:t>lack of respect</w:t>
      </w:r>
      <w:r w:rsidR="00347894" w:rsidRPr="001418B7">
        <w:rPr>
          <w:sz w:val="26"/>
          <w:lang w:val="en-CA"/>
        </w:rPr>
        <w:t xml:space="preserve"> for his legal </w:t>
      </w:r>
      <w:r w:rsidR="001A54DC" w:rsidRPr="001418B7">
        <w:rPr>
          <w:sz w:val="26"/>
          <w:lang w:val="en-CA"/>
        </w:rPr>
        <w:t xml:space="preserve">obligations </w:t>
      </w:r>
      <w:r w:rsidR="004203DE" w:rsidRPr="001418B7">
        <w:rPr>
          <w:sz w:val="26"/>
          <w:lang w:val="en-CA"/>
        </w:rPr>
        <w:t>animated</w:t>
      </w:r>
      <w:r w:rsidR="009F75D9" w:rsidRPr="001418B7">
        <w:rPr>
          <w:sz w:val="26"/>
          <w:lang w:val="en-CA"/>
        </w:rPr>
        <w:t xml:space="preserve"> his criminal conduct.</w:t>
      </w:r>
      <w:r w:rsidR="007C7FCD">
        <w:rPr>
          <w:sz w:val="26"/>
          <w:lang w:val="en-CA"/>
        </w:rPr>
        <w:t xml:space="preserve"> In relation to this behaviour, the principles of denunciation and deterrence are paramount.</w:t>
      </w:r>
      <w:r w:rsidR="00067326">
        <w:rPr>
          <w:sz w:val="26"/>
          <w:lang w:val="en-CA"/>
        </w:rPr>
        <w:t xml:space="preserve"> </w:t>
      </w:r>
      <w:r w:rsidR="00923887" w:rsidRPr="001418B7">
        <w:rPr>
          <w:sz w:val="26"/>
          <w:lang w:val="en-CA"/>
        </w:rPr>
        <w:t>Mr. Livingston</w:t>
      </w:r>
      <w:r w:rsidR="008958C7" w:rsidRPr="001418B7">
        <w:rPr>
          <w:sz w:val="26"/>
          <w:lang w:val="en-CA"/>
        </w:rPr>
        <w:t xml:space="preserve"> attempt</w:t>
      </w:r>
      <w:r w:rsidR="001A54DC" w:rsidRPr="001418B7">
        <w:rPr>
          <w:sz w:val="26"/>
          <w:lang w:val="en-CA"/>
        </w:rPr>
        <w:t>ed</w:t>
      </w:r>
      <w:r w:rsidR="008958C7" w:rsidRPr="001418B7">
        <w:rPr>
          <w:sz w:val="26"/>
          <w:lang w:val="en-CA"/>
        </w:rPr>
        <w:t xml:space="preserve"> to frustrate the operation of</w:t>
      </w:r>
      <w:r w:rsidR="00067326">
        <w:rPr>
          <w:sz w:val="26"/>
          <w:lang w:val="en-CA"/>
        </w:rPr>
        <w:t xml:space="preserve"> the </w:t>
      </w:r>
      <w:r w:rsidR="008958C7" w:rsidRPr="001418B7">
        <w:rPr>
          <w:sz w:val="26"/>
          <w:lang w:val="en-CA"/>
        </w:rPr>
        <w:t>mechanisms of government accountability</w:t>
      </w:r>
      <w:r w:rsidR="001A54DC" w:rsidRPr="001418B7">
        <w:rPr>
          <w:sz w:val="26"/>
          <w:lang w:val="en-CA"/>
        </w:rPr>
        <w:t>. A denunciatory sentence</w:t>
      </w:r>
      <w:r w:rsidR="0080481C" w:rsidRPr="001418B7">
        <w:rPr>
          <w:sz w:val="26"/>
          <w:lang w:val="en-CA"/>
        </w:rPr>
        <w:t xml:space="preserve"> is</w:t>
      </w:r>
      <w:r w:rsidR="002713B0" w:rsidRPr="001418B7">
        <w:rPr>
          <w:sz w:val="26"/>
          <w:lang w:val="en-CA"/>
        </w:rPr>
        <w:t xml:space="preserve"> required to reaffirm society’s</w:t>
      </w:r>
      <w:r w:rsidR="000E73CA">
        <w:rPr>
          <w:sz w:val="26"/>
          <w:lang w:val="en-CA"/>
        </w:rPr>
        <w:t xml:space="preserve"> legitimate</w:t>
      </w:r>
      <w:r w:rsidR="0080481C" w:rsidRPr="001418B7">
        <w:rPr>
          <w:sz w:val="26"/>
          <w:lang w:val="en-CA"/>
        </w:rPr>
        <w:t xml:space="preserve"> expectation that </w:t>
      </w:r>
      <w:r w:rsidR="00724F15" w:rsidRPr="001418B7">
        <w:rPr>
          <w:sz w:val="26"/>
          <w:lang w:val="en-CA"/>
        </w:rPr>
        <w:t xml:space="preserve">those holding senior </w:t>
      </w:r>
      <w:r w:rsidR="00A47B2C" w:rsidRPr="001418B7">
        <w:rPr>
          <w:sz w:val="26"/>
          <w:lang w:val="en-CA"/>
        </w:rPr>
        <w:t>gov</w:t>
      </w:r>
      <w:r w:rsidR="002713B0" w:rsidRPr="001418B7">
        <w:rPr>
          <w:sz w:val="26"/>
          <w:lang w:val="en-CA"/>
        </w:rPr>
        <w:t xml:space="preserve">ernment positions </w:t>
      </w:r>
      <w:r w:rsidR="00052AE7" w:rsidRPr="001418B7">
        <w:rPr>
          <w:sz w:val="26"/>
          <w:lang w:val="en-CA"/>
        </w:rPr>
        <w:t>conduct themselves</w:t>
      </w:r>
      <w:r w:rsidR="00B250D6" w:rsidRPr="001418B7">
        <w:rPr>
          <w:sz w:val="26"/>
          <w:lang w:val="en-CA"/>
        </w:rPr>
        <w:t xml:space="preserve"> with integrity and</w:t>
      </w:r>
      <w:r w:rsidR="00052AE7" w:rsidRPr="001418B7">
        <w:rPr>
          <w:sz w:val="26"/>
          <w:lang w:val="en-CA"/>
        </w:rPr>
        <w:t xml:space="preserve"> within the l</w:t>
      </w:r>
      <w:r w:rsidR="002713B0" w:rsidRPr="001418B7">
        <w:rPr>
          <w:sz w:val="26"/>
          <w:lang w:val="en-CA"/>
        </w:rPr>
        <w:t>aw. It was not for Mr. Livingston</w:t>
      </w:r>
      <w:r w:rsidR="00052AE7" w:rsidRPr="001418B7">
        <w:rPr>
          <w:sz w:val="26"/>
          <w:lang w:val="en-CA"/>
        </w:rPr>
        <w:t xml:space="preserve"> to unilaterally decide</w:t>
      </w:r>
      <w:r w:rsidR="008B64A4" w:rsidRPr="001418B7">
        <w:rPr>
          <w:sz w:val="26"/>
          <w:lang w:val="en-CA"/>
        </w:rPr>
        <w:t xml:space="preserve"> what the public should or sho</w:t>
      </w:r>
      <w:r w:rsidR="00067326">
        <w:rPr>
          <w:sz w:val="26"/>
          <w:lang w:val="en-CA"/>
        </w:rPr>
        <w:t xml:space="preserve">uld not know about the steps taken by </w:t>
      </w:r>
      <w:r w:rsidR="008B64A4" w:rsidRPr="001418B7">
        <w:rPr>
          <w:sz w:val="26"/>
          <w:lang w:val="en-CA"/>
        </w:rPr>
        <w:t xml:space="preserve">government </w:t>
      </w:r>
      <w:r w:rsidR="00067326">
        <w:rPr>
          <w:sz w:val="26"/>
          <w:lang w:val="en-CA"/>
        </w:rPr>
        <w:t>in its decision-making on</w:t>
      </w:r>
      <w:r w:rsidR="008B64A4" w:rsidRPr="001418B7">
        <w:rPr>
          <w:sz w:val="26"/>
          <w:lang w:val="en-CA"/>
        </w:rPr>
        <w:t xml:space="preserve"> the gas plant controversy.</w:t>
      </w:r>
      <w:r w:rsidR="00832FEB" w:rsidRPr="001418B7">
        <w:rPr>
          <w:sz w:val="26"/>
          <w:lang w:val="en-CA"/>
        </w:rPr>
        <w:t xml:space="preserve"> </w:t>
      </w:r>
    </w:p>
    <w:p w:rsidR="00FF51E9" w:rsidRPr="001418B7" w:rsidRDefault="00832FEB" w:rsidP="0067505C">
      <w:pPr>
        <w:pStyle w:val="MAINPARAGRAPH"/>
        <w:rPr>
          <w:sz w:val="26"/>
          <w:lang w:val="en-CA"/>
        </w:rPr>
      </w:pPr>
      <w:r w:rsidRPr="001418B7">
        <w:rPr>
          <w:sz w:val="26"/>
          <w:lang w:val="en-CA"/>
        </w:rPr>
        <w:t xml:space="preserve">The objective of general deterrence </w:t>
      </w:r>
      <w:r w:rsidR="005F1555" w:rsidRPr="001418B7">
        <w:rPr>
          <w:sz w:val="26"/>
          <w:lang w:val="en-CA"/>
        </w:rPr>
        <w:t xml:space="preserve">also </w:t>
      </w:r>
      <w:r w:rsidR="00CB0E9E" w:rsidRPr="001418B7">
        <w:rPr>
          <w:sz w:val="26"/>
          <w:lang w:val="en-CA"/>
        </w:rPr>
        <w:t xml:space="preserve">plays an important </w:t>
      </w:r>
      <w:r w:rsidR="00B94F7F">
        <w:rPr>
          <w:sz w:val="26"/>
          <w:lang w:val="en-CA"/>
        </w:rPr>
        <w:t>role here</w:t>
      </w:r>
      <w:r w:rsidR="000878BA">
        <w:rPr>
          <w:sz w:val="26"/>
          <w:lang w:val="en-CA"/>
        </w:rPr>
        <w:t xml:space="preserve"> to effectively discourage</w:t>
      </w:r>
      <w:r w:rsidR="00CB0E9E" w:rsidRPr="001418B7">
        <w:rPr>
          <w:sz w:val="26"/>
          <w:lang w:val="en-CA"/>
        </w:rPr>
        <w:t xml:space="preserve"> others </w:t>
      </w:r>
      <w:r w:rsidR="00195CBF">
        <w:rPr>
          <w:sz w:val="26"/>
          <w:lang w:val="en-CA"/>
        </w:rPr>
        <w:t>from committing similar criminal acts</w:t>
      </w:r>
      <w:r w:rsidR="00CB0E9E" w:rsidRPr="001418B7">
        <w:rPr>
          <w:sz w:val="26"/>
          <w:lang w:val="en-CA"/>
        </w:rPr>
        <w:t xml:space="preserve">. </w:t>
      </w:r>
    </w:p>
    <w:p w:rsidR="005F360A" w:rsidRPr="001418B7" w:rsidRDefault="00890405" w:rsidP="0067505C">
      <w:pPr>
        <w:pStyle w:val="MAINPARAGRAPH"/>
        <w:rPr>
          <w:sz w:val="26"/>
          <w:lang w:val="en-CA"/>
        </w:rPr>
      </w:pPr>
      <w:r w:rsidRPr="001418B7">
        <w:rPr>
          <w:sz w:val="26"/>
          <w:lang w:val="en-CA"/>
        </w:rPr>
        <w:t xml:space="preserve">There is no minimum penalty and a maximum </w:t>
      </w:r>
      <w:r w:rsidR="00356215">
        <w:rPr>
          <w:sz w:val="26"/>
          <w:lang w:val="en-CA"/>
        </w:rPr>
        <w:t>of 10 years for the offence of Unauthorized Use of a C</w:t>
      </w:r>
      <w:r w:rsidRPr="001418B7">
        <w:rPr>
          <w:sz w:val="26"/>
          <w:lang w:val="en-CA"/>
        </w:rPr>
        <w:t>omputer. Obviously there are a wide range of circumst</w:t>
      </w:r>
      <w:r w:rsidR="00356215">
        <w:rPr>
          <w:sz w:val="26"/>
          <w:lang w:val="en-CA"/>
        </w:rPr>
        <w:t>ances in which the offence can</w:t>
      </w:r>
      <w:r w:rsidRPr="001418B7">
        <w:rPr>
          <w:sz w:val="26"/>
          <w:lang w:val="en-CA"/>
        </w:rPr>
        <w:t xml:space="preserve"> be committed.</w:t>
      </w:r>
      <w:r w:rsidR="000A54A1" w:rsidRPr="001418B7">
        <w:rPr>
          <w:sz w:val="26"/>
          <w:lang w:val="en-CA"/>
        </w:rPr>
        <w:t xml:space="preserve"> In determining a fit sentence</w:t>
      </w:r>
      <w:r w:rsidR="00BA74A9">
        <w:rPr>
          <w:sz w:val="26"/>
          <w:lang w:val="en-CA"/>
        </w:rPr>
        <w:t>,</w:t>
      </w:r>
      <w:r w:rsidR="000A54A1" w:rsidRPr="001418B7">
        <w:rPr>
          <w:sz w:val="26"/>
          <w:lang w:val="en-CA"/>
        </w:rPr>
        <w:t xml:space="preserve"> I must take into account the fact that the Cro</w:t>
      </w:r>
      <w:r w:rsidR="00B56112" w:rsidRPr="001418B7">
        <w:rPr>
          <w:sz w:val="26"/>
          <w:lang w:val="en-CA"/>
        </w:rPr>
        <w:t>wn was unable to establish what, if any, documents were destroyed and what</w:t>
      </w:r>
      <w:r w:rsidR="00857C16" w:rsidRPr="001418B7">
        <w:rPr>
          <w:sz w:val="26"/>
          <w:lang w:val="en-CA"/>
        </w:rPr>
        <w:t>, if any,</w:t>
      </w:r>
      <w:r w:rsidR="00B56112" w:rsidRPr="001418B7">
        <w:rPr>
          <w:sz w:val="26"/>
          <w:lang w:val="en-CA"/>
        </w:rPr>
        <w:t xml:space="preserve"> harm was caused. </w:t>
      </w:r>
      <w:r w:rsidR="00BA74A9">
        <w:rPr>
          <w:sz w:val="26"/>
          <w:lang w:val="en-CA"/>
        </w:rPr>
        <w:t>W</w:t>
      </w:r>
      <w:r w:rsidR="00BD0C4E" w:rsidRPr="001418B7">
        <w:rPr>
          <w:sz w:val="26"/>
          <w:lang w:val="en-CA"/>
        </w:rPr>
        <w:t xml:space="preserve">hile the aggravating circumstances </w:t>
      </w:r>
      <w:r w:rsidR="005D6F85" w:rsidRPr="001418B7">
        <w:rPr>
          <w:sz w:val="26"/>
          <w:lang w:val="en-CA"/>
        </w:rPr>
        <w:t xml:space="preserve">are important, the court must </w:t>
      </w:r>
      <w:r w:rsidR="00857C16" w:rsidRPr="001418B7">
        <w:rPr>
          <w:sz w:val="26"/>
          <w:lang w:val="en-CA"/>
        </w:rPr>
        <w:t xml:space="preserve">also </w:t>
      </w:r>
      <w:r w:rsidR="005D6F85" w:rsidRPr="001418B7">
        <w:rPr>
          <w:sz w:val="26"/>
          <w:lang w:val="en-CA"/>
        </w:rPr>
        <w:t xml:space="preserve">give effect to the principle of restraint. </w:t>
      </w:r>
      <w:r w:rsidR="00BA74A9">
        <w:rPr>
          <w:sz w:val="26"/>
          <w:lang w:val="en-CA"/>
        </w:rPr>
        <w:t xml:space="preserve"> Mr. Livingston is a 65-</w:t>
      </w:r>
      <w:r w:rsidR="00B56112" w:rsidRPr="001418B7">
        <w:rPr>
          <w:sz w:val="26"/>
          <w:lang w:val="en-CA"/>
        </w:rPr>
        <w:t>year old first offe</w:t>
      </w:r>
      <w:r w:rsidR="00857C16" w:rsidRPr="001418B7">
        <w:rPr>
          <w:sz w:val="26"/>
          <w:lang w:val="en-CA"/>
        </w:rPr>
        <w:t>nder of previous good character</w:t>
      </w:r>
      <w:r w:rsidR="00195CBF">
        <w:rPr>
          <w:sz w:val="26"/>
          <w:lang w:val="en-CA"/>
        </w:rPr>
        <w:t>,</w:t>
      </w:r>
      <w:r w:rsidR="00857C16" w:rsidRPr="001418B7">
        <w:rPr>
          <w:sz w:val="26"/>
          <w:lang w:val="en-CA"/>
        </w:rPr>
        <w:t xml:space="preserve"> </w:t>
      </w:r>
      <w:r w:rsidR="00E3008B" w:rsidRPr="001418B7">
        <w:rPr>
          <w:sz w:val="26"/>
          <w:lang w:val="en-CA"/>
        </w:rPr>
        <w:t>who</w:t>
      </w:r>
      <w:r w:rsidR="00195CBF">
        <w:rPr>
          <w:sz w:val="26"/>
          <w:lang w:val="en-CA"/>
        </w:rPr>
        <w:t xml:space="preserve"> in the course of his</w:t>
      </w:r>
      <w:r w:rsidR="00CF1B76" w:rsidRPr="001418B7">
        <w:rPr>
          <w:sz w:val="26"/>
          <w:lang w:val="en-CA"/>
        </w:rPr>
        <w:t xml:space="preserve"> life</w:t>
      </w:r>
      <w:r w:rsidR="00E3008B" w:rsidRPr="001418B7">
        <w:rPr>
          <w:sz w:val="26"/>
          <w:lang w:val="en-CA"/>
        </w:rPr>
        <w:t xml:space="preserve"> </w:t>
      </w:r>
      <w:r w:rsidR="00A41AA5" w:rsidRPr="001418B7">
        <w:rPr>
          <w:sz w:val="26"/>
          <w:lang w:val="en-CA"/>
        </w:rPr>
        <w:t xml:space="preserve">has made an outstanding contribution to the community </w:t>
      </w:r>
      <w:r w:rsidR="00B42619">
        <w:rPr>
          <w:sz w:val="26"/>
          <w:lang w:val="en-CA"/>
        </w:rPr>
        <w:t xml:space="preserve">both </w:t>
      </w:r>
      <w:r w:rsidR="00A41AA5" w:rsidRPr="001418B7">
        <w:rPr>
          <w:sz w:val="26"/>
          <w:lang w:val="en-CA"/>
        </w:rPr>
        <w:t>professiona</w:t>
      </w:r>
      <w:r w:rsidR="002A657F" w:rsidRPr="001418B7">
        <w:rPr>
          <w:sz w:val="26"/>
          <w:lang w:val="en-CA"/>
        </w:rPr>
        <w:t>lly and in his</w:t>
      </w:r>
      <w:r w:rsidR="00A41AA5" w:rsidRPr="001418B7">
        <w:rPr>
          <w:sz w:val="26"/>
          <w:lang w:val="en-CA"/>
        </w:rPr>
        <w:t xml:space="preserve"> private life</w:t>
      </w:r>
      <w:r w:rsidR="00BD0C4E" w:rsidRPr="001418B7">
        <w:rPr>
          <w:sz w:val="26"/>
          <w:lang w:val="en-CA"/>
        </w:rPr>
        <w:t>.</w:t>
      </w:r>
    </w:p>
    <w:p w:rsidR="00B80916" w:rsidRPr="008B1B21" w:rsidRDefault="00B80916" w:rsidP="008B1B21">
      <w:pPr>
        <w:pStyle w:val="MAINPARAGRAPH"/>
        <w:rPr>
          <w:sz w:val="26"/>
          <w:lang w:val="en-CA"/>
        </w:rPr>
      </w:pPr>
      <w:r w:rsidRPr="001418B7">
        <w:rPr>
          <w:sz w:val="26"/>
          <w:lang w:val="en-CA"/>
        </w:rPr>
        <w:t>Mr. Livingston’s attempt to wipe the hard drives to eliminate information that the public</w:t>
      </w:r>
      <w:r w:rsidR="00C5041E">
        <w:rPr>
          <w:sz w:val="26"/>
          <w:lang w:val="en-CA"/>
        </w:rPr>
        <w:t>,</w:t>
      </w:r>
      <w:r w:rsidRPr="001418B7">
        <w:rPr>
          <w:sz w:val="26"/>
          <w:lang w:val="en-CA"/>
        </w:rPr>
        <w:t xml:space="preserve"> through its legislative bodies</w:t>
      </w:r>
      <w:r w:rsidR="00C5041E">
        <w:rPr>
          <w:sz w:val="26"/>
          <w:lang w:val="en-CA"/>
        </w:rPr>
        <w:t>,</w:t>
      </w:r>
      <w:r w:rsidR="008069CD" w:rsidRPr="001418B7">
        <w:rPr>
          <w:sz w:val="26"/>
          <w:lang w:val="en-CA"/>
        </w:rPr>
        <w:t xml:space="preserve"> had</w:t>
      </w:r>
      <w:r w:rsidR="00D00DD2" w:rsidRPr="001418B7">
        <w:rPr>
          <w:sz w:val="26"/>
          <w:lang w:val="en-CA"/>
        </w:rPr>
        <w:t xml:space="preserve"> a right to have, strikes at the </w:t>
      </w:r>
      <w:r w:rsidR="004502CF" w:rsidRPr="001418B7">
        <w:rPr>
          <w:sz w:val="26"/>
          <w:lang w:val="en-CA"/>
        </w:rPr>
        <w:t>heart of the democ</w:t>
      </w:r>
      <w:r w:rsidR="00AA56C2" w:rsidRPr="001418B7">
        <w:rPr>
          <w:sz w:val="26"/>
          <w:lang w:val="en-CA"/>
        </w:rPr>
        <w:t xml:space="preserve">ratic process. His conduct was an affront to and an attack </w:t>
      </w:r>
      <w:r w:rsidR="00040A1E" w:rsidRPr="001418B7">
        <w:rPr>
          <w:sz w:val="26"/>
          <w:lang w:val="en-CA"/>
        </w:rPr>
        <w:t>up</w:t>
      </w:r>
      <w:r w:rsidR="00AA56C2" w:rsidRPr="001418B7">
        <w:rPr>
          <w:sz w:val="26"/>
          <w:lang w:val="en-CA"/>
        </w:rPr>
        <w:t>on democratic institutions and values.</w:t>
      </w:r>
      <w:r w:rsidR="008B1B21">
        <w:rPr>
          <w:sz w:val="26"/>
          <w:lang w:val="en-CA"/>
        </w:rPr>
        <w:t xml:space="preserve"> It is this feature that makes the objective of denunciation so pressing.</w:t>
      </w:r>
      <w:r w:rsidR="008B18D0">
        <w:rPr>
          <w:sz w:val="26"/>
          <w:lang w:val="en-CA"/>
        </w:rPr>
        <w:t xml:space="preserve"> </w:t>
      </w:r>
      <w:bookmarkStart w:id="0" w:name="_GoBack"/>
      <w:bookmarkEnd w:id="0"/>
      <w:r w:rsidR="001D7427" w:rsidRPr="008B1B21">
        <w:rPr>
          <w:sz w:val="26"/>
          <w:lang w:val="en-CA"/>
        </w:rPr>
        <w:t xml:space="preserve">To </w:t>
      </w:r>
      <w:r w:rsidR="00E850DD" w:rsidRPr="008B1B21">
        <w:rPr>
          <w:sz w:val="26"/>
          <w:lang w:val="en-CA"/>
        </w:rPr>
        <w:t xml:space="preserve">borrow </w:t>
      </w:r>
      <w:r w:rsidR="00F21807" w:rsidRPr="008B1B21">
        <w:rPr>
          <w:sz w:val="26"/>
          <w:lang w:val="en-CA"/>
        </w:rPr>
        <w:t>the language of Justice Laforest</w:t>
      </w:r>
      <w:r w:rsidR="00E850DD" w:rsidRPr="008B1B21">
        <w:rPr>
          <w:sz w:val="26"/>
          <w:lang w:val="en-CA"/>
        </w:rPr>
        <w:t xml:space="preserve"> in </w:t>
      </w:r>
      <w:r w:rsidR="00E850DD" w:rsidRPr="008B1B21">
        <w:rPr>
          <w:i/>
          <w:sz w:val="26"/>
          <w:lang w:val="en-CA"/>
        </w:rPr>
        <w:t>Dagg</w:t>
      </w:r>
      <w:r w:rsidR="001612C0" w:rsidRPr="008B1B21">
        <w:rPr>
          <w:sz w:val="26"/>
          <w:lang w:val="en-CA"/>
        </w:rPr>
        <w:t>, access to information “helps ensure</w:t>
      </w:r>
      <w:r w:rsidR="00060BF1" w:rsidRPr="008B1B21">
        <w:rPr>
          <w:sz w:val="26"/>
          <w:lang w:val="en-CA"/>
        </w:rPr>
        <w:t xml:space="preserve"> first, that citizens have the information required to participate meaningfully in the democratic process and secondly</w:t>
      </w:r>
      <w:r w:rsidR="00F362E1" w:rsidRPr="008B1B21">
        <w:rPr>
          <w:sz w:val="26"/>
          <w:lang w:val="en-CA"/>
        </w:rPr>
        <w:t>, that politicians remain accountable to the citizenry.”</w:t>
      </w:r>
    </w:p>
    <w:p w:rsidR="00874D8C" w:rsidRPr="001418B7" w:rsidRDefault="00EC4E8A" w:rsidP="0067505C">
      <w:pPr>
        <w:pStyle w:val="MAINPARAGRAPH"/>
        <w:rPr>
          <w:sz w:val="26"/>
          <w:lang w:val="en-CA"/>
        </w:rPr>
      </w:pPr>
      <w:r w:rsidRPr="001418B7">
        <w:rPr>
          <w:sz w:val="26"/>
          <w:lang w:val="en-CA"/>
        </w:rPr>
        <w:t>The</w:t>
      </w:r>
      <w:r w:rsidR="001612C0">
        <w:rPr>
          <w:sz w:val="26"/>
          <w:lang w:val="en-CA"/>
        </w:rPr>
        <w:t xml:space="preserve"> facts of this case are unique and </w:t>
      </w:r>
      <w:r w:rsidR="002D5E37">
        <w:rPr>
          <w:sz w:val="26"/>
          <w:lang w:val="en-CA"/>
        </w:rPr>
        <w:t>there</w:t>
      </w:r>
      <w:r w:rsidRPr="001418B7">
        <w:rPr>
          <w:sz w:val="26"/>
          <w:lang w:val="en-CA"/>
        </w:rPr>
        <w:t xml:space="preserve"> is a dearth of</w:t>
      </w:r>
      <w:r w:rsidR="00687ECC" w:rsidRPr="001418B7">
        <w:rPr>
          <w:sz w:val="26"/>
          <w:lang w:val="en-CA"/>
        </w:rPr>
        <w:t xml:space="preserve"> </w:t>
      </w:r>
      <w:r w:rsidR="001612C0">
        <w:rPr>
          <w:sz w:val="26"/>
          <w:lang w:val="en-CA"/>
        </w:rPr>
        <w:t xml:space="preserve">case </w:t>
      </w:r>
      <w:r w:rsidR="00403973">
        <w:rPr>
          <w:sz w:val="26"/>
          <w:lang w:val="en-CA"/>
        </w:rPr>
        <w:t xml:space="preserve">authorities that set out </w:t>
      </w:r>
      <w:r w:rsidRPr="001418B7">
        <w:rPr>
          <w:sz w:val="26"/>
          <w:lang w:val="en-CA"/>
        </w:rPr>
        <w:t>the</w:t>
      </w:r>
      <w:r w:rsidR="003F7C4E" w:rsidRPr="001418B7">
        <w:rPr>
          <w:sz w:val="26"/>
          <w:lang w:val="en-CA"/>
        </w:rPr>
        <w:t xml:space="preserve"> appropriate range of sentence. However, there are </w:t>
      </w:r>
      <w:r w:rsidR="00FB157C" w:rsidRPr="001418B7">
        <w:rPr>
          <w:sz w:val="26"/>
          <w:lang w:val="en-CA"/>
        </w:rPr>
        <w:t>two recent Ontario sentencing decisions</w:t>
      </w:r>
      <w:r w:rsidR="00794B9D" w:rsidRPr="001418B7">
        <w:rPr>
          <w:sz w:val="26"/>
          <w:lang w:val="en-CA"/>
        </w:rPr>
        <w:t xml:space="preserve"> </w:t>
      </w:r>
      <w:r w:rsidR="005F3C61" w:rsidRPr="001418B7">
        <w:rPr>
          <w:sz w:val="26"/>
          <w:lang w:val="en-CA"/>
        </w:rPr>
        <w:t>which are helpful in this regard</w:t>
      </w:r>
      <w:r w:rsidR="00794B9D" w:rsidRPr="001418B7">
        <w:rPr>
          <w:sz w:val="26"/>
          <w:lang w:val="en-CA"/>
        </w:rPr>
        <w:t xml:space="preserve">. These cases involve individuals who </w:t>
      </w:r>
      <w:r w:rsidR="00BA165C" w:rsidRPr="001418B7">
        <w:rPr>
          <w:sz w:val="26"/>
          <w:lang w:val="en-CA"/>
        </w:rPr>
        <w:t>were</w:t>
      </w:r>
      <w:r w:rsidR="00FB157C" w:rsidRPr="001418B7">
        <w:rPr>
          <w:sz w:val="26"/>
          <w:lang w:val="en-CA"/>
        </w:rPr>
        <w:t xml:space="preserve"> convicted </w:t>
      </w:r>
      <w:r w:rsidR="003F7C4E" w:rsidRPr="001418B7">
        <w:rPr>
          <w:sz w:val="26"/>
          <w:lang w:val="en-CA"/>
        </w:rPr>
        <w:t xml:space="preserve">for </w:t>
      </w:r>
      <w:r w:rsidR="00BA165C" w:rsidRPr="001418B7">
        <w:rPr>
          <w:sz w:val="26"/>
          <w:lang w:val="en-CA"/>
        </w:rPr>
        <w:t xml:space="preserve">interfering with </w:t>
      </w:r>
      <w:r w:rsidR="00FB157C" w:rsidRPr="001418B7">
        <w:rPr>
          <w:sz w:val="26"/>
          <w:lang w:val="en-CA"/>
        </w:rPr>
        <w:t xml:space="preserve">the most fundamental of </w:t>
      </w:r>
      <w:r w:rsidR="00E86A74" w:rsidRPr="001418B7">
        <w:rPr>
          <w:sz w:val="26"/>
          <w:lang w:val="en-CA"/>
        </w:rPr>
        <w:t>democra</w:t>
      </w:r>
      <w:r w:rsidR="00FB157C" w:rsidRPr="001418B7">
        <w:rPr>
          <w:sz w:val="26"/>
          <w:lang w:val="en-CA"/>
        </w:rPr>
        <w:t>tic institutions,</w:t>
      </w:r>
      <w:r w:rsidR="00E86A74" w:rsidRPr="001418B7">
        <w:rPr>
          <w:sz w:val="26"/>
          <w:lang w:val="en-CA"/>
        </w:rPr>
        <w:t xml:space="preserve"> the electoral process.</w:t>
      </w:r>
      <w:r w:rsidR="00BA165C" w:rsidRPr="001418B7">
        <w:rPr>
          <w:sz w:val="26"/>
          <w:lang w:val="en-CA"/>
        </w:rPr>
        <w:t xml:space="preserve"> </w:t>
      </w:r>
    </w:p>
    <w:p w:rsidR="005F67C9" w:rsidRPr="001418B7" w:rsidRDefault="00E86A74" w:rsidP="0067505C">
      <w:pPr>
        <w:pStyle w:val="MAINPARAGRAPH"/>
        <w:rPr>
          <w:sz w:val="26"/>
          <w:lang w:val="en-CA"/>
        </w:rPr>
      </w:pPr>
      <w:r w:rsidRPr="001418B7">
        <w:rPr>
          <w:sz w:val="26"/>
          <w:lang w:val="en-CA"/>
        </w:rPr>
        <w:lastRenderedPageBreak/>
        <w:t xml:space="preserve">In </w:t>
      </w:r>
      <w:r w:rsidRPr="001418B7">
        <w:rPr>
          <w:i/>
          <w:sz w:val="26"/>
          <w:lang w:val="en-CA"/>
        </w:rPr>
        <w:t>R. v. Sona</w:t>
      </w:r>
      <w:r w:rsidR="00AB617C" w:rsidRPr="001418B7">
        <w:rPr>
          <w:rStyle w:val="FootnoteReference"/>
          <w:i/>
          <w:sz w:val="26"/>
          <w:lang w:val="en-CA"/>
        </w:rPr>
        <w:footnoteReference w:id="8"/>
      </w:r>
      <w:r w:rsidR="00BA165C" w:rsidRPr="001418B7">
        <w:rPr>
          <w:sz w:val="26"/>
          <w:lang w:val="en-CA"/>
        </w:rPr>
        <w:t>,</w:t>
      </w:r>
      <w:r w:rsidR="007C56FF" w:rsidRPr="001418B7">
        <w:rPr>
          <w:sz w:val="26"/>
          <w:lang w:val="en-CA"/>
        </w:rPr>
        <w:t xml:space="preserve"> the defendant w</w:t>
      </w:r>
      <w:r w:rsidR="001C7A7C" w:rsidRPr="001418B7">
        <w:rPr>
          <w:sz w:val="26"/>
          <w:lang w:val="en-CA"/>
        </w:rPr>
        <w:t>as convicted of an offence contrary to</w:t>
      </w:r>
      <w:r w:rsidR="007C56FF" w:rsidRPr="001418B7">
        <w:rPr>
          <w:sz w:val="26"/>
          <w:lang w:val="en-CA"/>
        </w:rPr>
        <w:t xml:space="preserve"> the </w:t>
      </w:r>
      <w:r w:rsidR="00E32FD0" w:rsidRPr="001418B7">
        <w:rPr>
          <w:i/>
          <w:sz w:val="26"/>
          <w:lang w:val="en-CA"/>
        </w:rPr>
        <w:t>Canada Elections Act</w:t>
      </w:r>
      <w:r w:rsidR="00E32FD0" w:rsidRPr="001418B7">
        <w:rPr>
          <w:sz w:val="26"/>
          <w:lang w:val="en-CA"/>
        </w:rPr>
        <w:t xml:space="preserve">. His crime became well-known in the media as the </w:t>
      </w:r>
      <w:r w:rsidR="00F11247" w:rsidRPr="001418B7">
        <w:rPr>
          <w:sz w:val="26"/>
          <w:lang w:val="en-CA"/>
        </w:rPr>
        <w:t>“</w:t>
      </w:r>
      <w:r w:rsidR="004E18A0">
        <w:rPr>
          <w:sz w:val="26"/>
          <w:lang w:val="en-CA"/>
        </w:rPr>
        <w:t>robo-calls scandal”. Mr. Sona’s</w:t>
      </w:r>
      <w:r w:rsidR="00770E9E" w:rsidRPr="001418B7">
        <w:rPr>
          <w:sz w:val="26"/>
          <w:lang w:val="en-CA"/>
        </w:rPr>
        <w:t xml:space="preserve"> scheme involved sending over 7,000 automated telephone calls on the day of the </w:t>
      </w:r>
      <w:r w:rsidR="00F11247" w:rsidRPr="001418B7">
        <w:rPr>
          <w:sz w:val="26"/>
          <w:lang w:val="en-CA"/>
        </w:rPr>
        <w:t xml:space="preserve">federal </w:t>
      </w:r>
      <w:r w:rsidR="00770E9E" w:rsidRPr="001418B7">
        <w:rPr>
          <w:sz w:val="26"/>
          <w:lang w:val="en-CA"/>
        </w:rPr>
        <w:t>election in 2011, telling vo</w:t>
      </w:r>
      <w:r w:rsidR="008E5EF6" w:rsidRPr="001418B7">
        <w:rPr>
          <w:sz w:val="26"/>
          <w:lang w:val="en-CA"/>
        </w:rPr>
        <w:t xml:space="preserve">ters that their polling station had been </w:t>
      </w:r>
      <w:r w:rsidR="00001E8E" w:rsidRPr="001418B7">
        <w:rPr>
          <w:sz w:val="26"/>
          <w:lang w:val="en-CA"/>
        </w:rPr>
        <w:t>changed to a different location</w:t>
      </w:r>
      <w:r w:rsidR="00616418">
        <w:rPr>
          <w:sz w:val="26"/>
          <w:lang w:val="en-CA"/>
        </w:rPr>
        <w:t>. His</w:t>
      </w:r>
      <w:r w:rsidR="008E5EF6" w:rsidRPr="001418B7">
        <w:rPr>
          <w:sz w:val="26"/>
          <w:lang w:val="en-CA"/>
        </w:rPr>
        <w:t xml:space="preserve"> intent was to send voters to a false location to prevent or discourage them from voting</w:t>
      </w:r>
      <w:r w:rsidR="00862E91" w:rsidRPr="001418B7">
        <w:rPr>
          <w:sz w:val="26"/>
          <w:lang w:val="en-CA"/>
        </w:rPr>
        <w:t>. At trial</w:t>
      </w:r>
      <w:r w:rsidR="00BA74A9">
        <w:rPr>
          <w:sz w:val="26"/>
          <w:lang w:val="en-CA"/>
        </w:rPr>
        <w:t>,</w:t>
      </w:r>
      <w:r w:rsidR="00862E91" w:rsidRPr="001418B7">
        <w:rPr>
          <w:sz w:val="26"/>
          <w:lang w:val="en-CA"/>
        </w:rPr>
        <w:t xml:space="preserve"> it was agreed that 150-200 voters attended the false polling stations as a result of the calls. Some of these voters tore up their voter information cards and walked away. Other voters chose not to vote because of the inconvenience</w:t>
      </w:r>
      <w:r w:rsidR="00ED7421" w:rsidRPr="001418B7">
        <w:rPr>
          <w:sz w:val="26"/>
          <w:lang w:val="en-CA"/>
        </w:rPr>
        <w:t xml:space="preserve"> of the false location. </w:t>
      </w:r>
      <w:r w:rsidR="00220360">
        <w:rPr>
          <w:sz w:val="26"/>
          <w:lang w:val="en-CA"/>
        </w:rPr>
        <w:t>Mr. Sona was a youthful first-</w:t>
      </w:r>
      <w:r w:rsidR="00C527D4" w:rsidRPr="001418B7">
        <w:rPr>
          <w:sz w:val="26"/>
          <w:lang w:val="en-CA"/>
        </w:rPr>
        <w:t xml:space="preserve">time adult </w:t>
      </w:r>
      <w:r w:rsidR="00264785" w:rsidRPr="001418B7">
        <w:rPr>
          <w:sz w:val="26"/>
          <w:lang w:val="en-CA"/>
        </w:rPr>
        <w:t>offender</w:t>
      </w:r>
      <w:r w:rsidR="00D36858" w:rsidRPr="001418B7">
        <w:rPr>
          <w:sz w:val="26"/>
          <w:lang w:val="en-CA"/>
        </w:rPr>
        <w:t xml:space="preserve"> with strong family and community support. The offence was </w:t>
      </w:r>
      <w:r w:rsidR="00C527D4" w:rsidRPr="001418B7">
        <w:rPr>
          <w:sz w:val="26"/>
          <w:lang w:val="en-CA"/>
        </w:rPr>
        <w:t>characterized as “</w:t>
      </w:r>
      <w:r w:rsidR="00D36858" w:rsidRPr="001418B7">
        <w:rPr>
          <w:sz w:val="26"/>
          <w:lang w:val="en-CA"/>
        </w:rPr>
        <w:t>out of character</w:t>
      </w:r>
      <w:r w:rsidR="00C527D4" w:rsidRPr="001418B7">
        <w:rPr>
          <w:sz w:val="26"/>
          <w:lang w:val="en-CA"/>
        </w:rPr>
        <w:t>”. The trial judge</w:t>
      </w:r>
      <w:r w:rsidR="00616418">
        <w:rPr>
          <w:sz w:val="26"/>
          <w:lang w:val="en-CA"/>
        </w:rPr>
        <w:t xml:space="preserve"> referred to the strong</w:t>
      </w:r>
      <w:r w:rsidR="00872A25" w:rsidRPr="001418B7">
        <w:rPr>
          <w:sz w:val="26"/>
          <w:lang w:val="en-CA"/>
        </w:rPr>
        <w:t xml:space="preserve"> values of Canadian democracy and the need to protect democratic institutions and processes from attack</w:t>
      </w:r>
      <w:r w:rsidR="00555FA3" w:rsidRPr="001418B7">
        <w:rPr>
          <w:sz w:val="26"/>
          <w:lang w:val="en-CA"/>
        </w:rPr>
        <w:t xml:space="preserve">. </w:t>
      </w:r>
      <w:r w:rsidR="00403973">
        <w:rPr>
          <w:sz w:val="26"/>
          <w:lang w:val="en-CA"/>
        </w:rPr>
        <w:t>He imposed a nine-</w:t>
      </w:r>
      <w:r w:rsidR="00CD73C1" w:rsidRPr="001418B7">
        <w:rPr>
          <w:sz w:val="26"/>
          <w:lang w:val="en-CA"/>
        </w:rPr>
        <w:t>month jail term</w:t>
      </w:r>
      <w:r w:rsidR="00182A0D">
        <w:rPr>
          <w:sz w:val="26"/>
          <w:lang w:val="en-CA"/>
        </w:rPr>
        <w:t>,</w:t>
      </w:r>
      <w:r w:rsidR="00CD73C1" w:rsidRPr="001418B7">
        <w:rPr>
          <w:sz w:val="26"/>
          <w:lang w:val="en-CA"/>
        </w:rPr>
        <w:t xml:space="preserve"> plus</w:t>
      </w:r>
      <w:r w:rsidR="00622867" w:rsidRPr="001418B7">
        <w:rPr>
          <w:sz w:val="26"/>
          <w:lang w:val="en-CA"/>
        </w:rPr>
        <w:t xml:space="preserve"> probation for</w:t>
      </w:r>
      <w:r w:rsidR="00CD73C1" w:rsidRPr="001418B7">
        <w:rPr>
          <w:sz w:val="26"/>
          <w:lang w:val="en-CA"/>
        </w:rPr>
        <w:t xml:space="preserve"> </w:t>
      </w:r>
      <w:r w:rsidR="00622867" w:rsidRPr="001418B7">
        <w:rPr>
          <w:sz w:val="26"/>
          <w:lang w:val="en-CA"/>
        </w:rPr>
        <w:t>twelve months. That sentence was upheld by the Court of Appeal</w:t>
      </w:r>
      <w:r w:rsidR="003C1CE1">
        <w:rPr>
          <w:sz w:val="26"/>
          <w:lang w:val="en-CA"/>
        </w:rPr>
        <w:t>.</w:t>
      </w:r>
    </w:p>
    <w:p w:rsidR="00451E5B" w:rsidRPr="001418B7" w:rsidRDefault="00B91E83" w:rsidP="0067505C">
      <w:pPr>
        <w:pStyle w:val="MAINPARAGRAPH"/>
        <w:rPr>
          <w:sz w:val="26"/>
          <w:lang w:val="en-CA"/>
        </w:rPr>
      </w:pPr>
      <w:r w:rsidRPr="001418B7">
        <w:rPr>
          <w:sz w:val="26"/>
          <w:lang w:val="en-CA"/>
        </w:rPr>
        <w:t xml:space="preserve">In </w:t>
      </w:r>
      <w:r w:rsidR="00211BC9" w:rsidRPr="001418B7">
        <w:rPr>
          <w:i/>
          <w:sz w:val="26"/>
          <w:lang w:val="en-CA"/>
        </w:rPr>
        <w:t>R. v. Del Mastro</w:t>
      </w:r>
      <w:r w:rsidR="00AB617C" w:rsidRPr="001418B7">
        <w:rPr>
          <w:rStyle w:val="FootnoteReference"/>
          <w:i/>
          <w:sz w:val="26"/>
          <w:lang w:val="en-CA"/>
        </w:rPr>
        <w:footnoteReference w:id="9"/>
      </w:r>
      <w:r w:rsidR="00211BC9" w:rsidRPr="001418B7">
        <w:rPr>
          <w:sz w:val="26"/>
          <w:lang w:val="en-CA"/>
        </w:rPr>
        <w:t>, the defendant was an incumbent Member of Parliament who</w:t>
      </w:r>
      <w:r w:rsidR="001C7A7C" w:rsidRPr="001418B7">
        <w:rPr>
          <w:sz w:val="26"/>
          <w:lang w:val="en-CA"/>
        </w:rPr>
        <w:t xml:space="preserve"> was convicted of offences contrary to</w:t>
      </w:r>
      <w:r w:rsidR="00211BC9" w:rsidRPr="001418B7">
        <w:rPr>
          <w:sz w:val="26"/>
          <w:lang w:val="en-CA"/>
        </w:rPr>
        <w:t xml:space="preserve"> the </w:t>
      </w:r>
      <w:r w:rsidR="00211BC9" w:rsidRPr="001418B7">
        <w:rPr>
          <w:i/>
          <w:sz w:val="26"/>
          <w:lang w:val="en-CA"/>
        </w:rPr>
        <w:t>Canada Election</w:t>
      </w:r>
      <w:r w:rsidR="00070F3B">
        <w:rPr>
          <w:i/>
          <w:sz w:val="26"/>
          <w:lang w:val="en-CA"/>
        </w:rPr>
        <w:t>s</w:t>
      </w:r>
      <w:r w:rsidR="00211BC9" w:rsidRPr="001418B7">
        <w:rPr>
          <w:i/>
          <w:sz w:val="26"/>
          <w:lang w:val="en-CA"/>
        </w:rPr>
        <w:t xml:space="preserve"> Act</w:t>
      </w:r>
      <w:r w:rsidR="00211BC9" w:rsidRPr="001418B7">
        <w:rPr>
          <w:sz w:val="26"/>
          <w:lang w:val="en-CA"/>
        </w:rPr>
        <w:t xml:space="preserve"> for exceeding his </w:t>
      </w:r>
      <w:r w:rsidR="008027D1" w:rsidRPr="001418B7">
        <w:rPr>
          <w:sz w:val="26"/>
          <w:lang w:val="en-CA"/>
        </w:rPr>
        <w:t>e</w:t>
      </w:r>
      <w:r w:rsidR="00211BC9" w:rsidRPr="001418B7">
        <w:rPr>
          <w:sz w:val="26"/>
          <w:lang w:val="en-CA"/>
        </w:rPr>
        <w:t>le</w:t>
      </w:r>
      <w:r w:rsidR="008027D1" w:rsidRPr="001418B7">
        <w:rPr>
          <w:sz w:val="26"/>
          <w:lang w:val="en-CA"/>
        </w:rPr>
        <w:t>ction expense and personal contribution limits</w:t>
      </w:r>
      <w:r w:rsidR="00182A0D">
        <w:rPr>
          <w:sz w:val="26"/>
          <w:lang w:val="en-CA"/>
        </w:rPr>
        <w:t>,</w:t>
      </w:r>
      <w:r w:rsidR="008027D1" w:rsidRPr="001418B7">
        <w:rPr>
          <w:sz w:val="26"/>
          <w:lang w:val="en-CA"/>
        </w:rPr>
        <w:t xml:space="preserve"> as well as filing a false or misleading electoral campaign return</w:t>
      </w:r>
      <w:r w:rsidR="009C00CB" w:rsidRPr="001418B7">
        <w:rPr>
          <w:sz w:val="26"/>
          <w:lang w:val="en-CA"/>
        </w:rPr>
        <w:t>. The sentencing judge imposed a global five</w:t>
      </w:r>
      <w:r w:rsidR="00403973">
        <w:rPr>
          <w:sz w:val="26"/>
          <w:lang w:val="en-CA"/>
        </w:rPr>
        <w:t>-</w:t>
      </w:r>
      <w:r w:rsidR="009C00CB" w:rsidRPr="001418B7">
        <w:rPr>
          <w:sz w:val="26"/>
          <w:lang w:val="en-CA"/>
        </w:rPr>
        <w:t xml:space="preserve"> month sentence, including one month</w:t>
      </w:r>
      <w:r w:rsidR="00403973">
        <w:rPr>
          <w:sz w:val="26"/>
          <w:lang w:val="en-CA"/>
        </w:rPr>
        <w:t xml:space="preserve"> in</w:t>
      </w:r>
      <w:r w:rsidR="009C00CB" w:rsidRPr="001418B7">
        <w:rPr>
          <w:sz w:val="26"/>
          <w:lang w:val="en-CA"/>
        </w:rPr>
        <w:t xml:space="preserve"> jail and </w:t>
      </w:r>
      <w:r w:rsidRPr="001418B7">
        <w:rPr>
          <w:sz w:val="26"/>
          <w:lang w:val="en-CA"/>
        </w:rPr>
        <w:t xml:space="preserve">a </w:t>
      </w:r>
      <w:r w:rsidR="00E029AB">
        <w:rPr>
          <w:sz w:val="26"/>
          <w:lang w:val="en-CA"/>
        </w:rPr>
        <w:t>four-</w:t>
      </w:r>
      <w:r w:rsidR="009C00CB" w:rsidRPr="001418B7">
        <w:rPr>
          <w:sz w:val="26"/>
          <w:lang w:val="en-CA"/>
        </w:rPr>
        <w:t xml:space="preserve">month conditional sentence. </w:t>
      </w:r>
      <w:r w:rsidR="00AB6F40" w:rsidRPr="001418B7">
        <w:rPr>
          <w:sz w:val="26"/>
          <w:lang w:val="en-CA"/>
        </w:rPr>
        <w:t xml:space="preserve">The summary conviction appeal judge upheld </w:t>
      </w:r>
      <w:r w:rsidR="00395BAC" w:rsidRPr="001418B7">
        <w:rPr>
          <w:sz w:val="26"/>
          <w:lang w:val="en-CA"/>
        </w:rPr>
        <w:t>the sentence and stated that the o</w:t>
      </w:r>
      <w:r w:rsidR="00E029AB">
        <w:rPr>
          <w:sz w:val="26"/>
          <w:lang w:val="en-CA"/>
        </w:rPr>
        <w:t xml:space="preserve">ffences were serious, </w:t>
      </w:r>
      <w:r w:rsidR="001C7A7C" w:rsidRPr="001418B7">
        <w:rPr>
          <w:sz w:val="26"/>
          <w:lang w:val="en-CA"/>
        </w:rPr>
        <w:t>struck</w:t>
      </w:r>
      <w:r w:rsidR="00395BAC" w:rsidRPr="001418B7">
        <w:rPr>
          <w:sz w:val="26"/>
          <w:lang w:val="en-CA"/>
        </w:rPr>
        <w:t xml:space="preserve"> at the </w:t>
      </w:r>
      <w:r w:rsidR="006A47B9" w:rsidRPr="001418B7">
        <w:rPr>
          <w:sz w:val="26"/>
          <w:lang w:val="en-CA"/>
        </w:rPr>
        <w:t>“</w:t>
      </w:r>
      <w:r w:rsidR="00395BAC" w:rsidRPr="001418B7">
        <w:rPr>
          <w:sz w:val="26"/>
          <w:lang w:val="en-CA"/>
        </w:rPr>
        <w:t>heart</w:t>
      </w:r>
      <w:r w:rsidR="00C36420" w:rsidRPr="001418B7">
        <w:rPr>
          <w:sz w:val="26"/>
          <w:lang w:val="en-CA"/>
        </w:rPr>
        <w:t xml:space="preserve"> of our democratic electoral process” and</w:t>
      </w:r>
      <w:r w:rsidR="006A47B9" w:rsidRPr="001418B7">
        <w:rPr>
          <w:sz w:val="26"/>
          <w:lang w:val="en-CA"/>
        </w:rPr>
        <w:t xml:space="preserve"> constituted</w:t>
      </w:r>
      <w:r w:rsidR="00C36420" w:rsidRPr="001418B7">
        <w:rPr>
          <w:sz w:val="26"/>
          <w:lang w:val="en-CA"/>
        </w:rPr>
        <w:t xml:space="preserve"> “a serious affront </w:t>
      </w:r>
      <w:r w:rsidR="00776575" w:rsidRPr="001418B7">
        <w:rPr>
          <w:sz w:val="26"/>
          <w:lang w:val="en-CA"/>
        </w:rPr>
        <w:t>to our democratic system and fairness of our election process.”</w:t>
      </w:r>
      <w:r w:rsidR="00D350CD">
        <w:rPr>
          <w:sz w:val="26"/>
          <w:lang w:val="en-CA"/>
        </w:rPr>
        <w:t xml:space="preserve"> A further appeal against sentence was abandoned at the Court of Appeal.</w:t>
      </w:r>
      <w:r w:rsidR="00D350CD">
        <w:rPr>
          <w:rStyle w:val="FootnoteReference"/>
          <w:sz w:val="26"/>
          <w:lang w:val="en-CA"/>
        </w:rPr>
        <w:footnoteReference w:id="10"/>
      </w:r>
    </w:p>
    <w:p w:rsidR="003A3DA8" w:rsidRPr="001418B7" w:rsidRDefault="00385DC4" w:rsidP="00B23CEB">
      <w:pPr>
        <w:pStyle w:val="MAINPARAGRAPH"/>
        <w:rPr>
          <w:sz w:val="26"/>
          <w:lang w:val="en-CA"/>
        </w:rPr>
      </w:pPr>
      <w:r w:rsidRPr="001418B7">
        <w:rPr>
          <w:sz w:val="26"/>
          <w:lang w:val="en-CA"/>
        </w:rPr>
        <w:t>These decisions</w:t>
      </w:r>
      <w:r w:rsidR="00E029AB">
        <w:rPr>
          <w:sz w:val="26"/>
          <w:lang w:val="en-CA"/>
        </w:rPr>
        <w:t xml:space="preserve"> serve to reflect </w:t>
      </w:r>
      <w:r w:rsidR="007D3AD5" w:rsidRPr="001418B7">
        <w:rPr>
          <w:sz w:val="26"/>
          <w:lang w:val="en-CA"/>
        </w:rPr>
        <w:t xml:space="preserve">the </w:t>
      </w:r>
      <w:r w:rsidR="00383A7F" w:rsidRPr="001418B7">
        <w:rPr>
          <w:sz w:val="26"/>
          <w:lang w:val="en-CA"/>
        </w:rPr>
        <w:t>duty</w:t>
      </w:r>
      <w:r w:rsidR="007D3AD5" w:rsidRPr="001418B7">
        <w:rPr>
          <w:sz w:val="26"/>
          <w:lang w:val="en-CA"/>
        </w:rPr>
        <w:t xml:space="preserve"> of the judiciary</w:t>
      </w:r>
      <w:r w:rsidR="00383A7F" w:rsidRPr="001418B7">
        <w:rPr>
          <w:sz w:val="26"/>
          <w:lang w:val="en-CA"/>
        </w:rPr>
        <w:t xml:space="preserve"> to treat cases involving interference with the democratic process </w:t>
      </w:r>
      <w:r w:rsidR="00911214">
        <w:rPr>
          <w:sz w:val="26"/>
          <w:lang w:val="en-CA"/>
        </w:rPr>
        <w:t>as ex</w:t>
      </w:r>
      <w:r w:rsidR="00811AF5">
        <w:rPr>
          <w:sz w:val="26"/>
          <w:lang w:val="en-CA"/>
        </w:rPr>
        <w:t>tremely serious</w:t>
      </w:r>
      <w:r w:rsidR="00726CB0">
        <w:rPr>
          <w:sz w:val="26"/>
          <w:lang w:val="en-CA"/>
        </w:rPr>
        <w:t xml:space="preserve"> </w:t>
      </w:r>
      <w:r w:rsidR="003F32A9" w:rsidRPr="001418B7">
        <w:rPr>
          <w:sz w:val="26"/>
          <w:lang w:val="en-CA"/>
        </w:rPr>
        <w:t>in order to maintain public confidence in the integri</w:t>
      </w:r>
      <w:r w:rsidR="00A94A2A" w:rsidRPr="001418B7">
        <w:rPr>
          <w:sz w:val="26"/>
          <w:lang w:val="en-CA"/>
        </w:rPr>
        <w:t xml:space="preserve">ty of </w:t>
      </w:r>
      <w:r w:rsidR="00B23CEB" w:rsidRPr="001418B7">
        <w:rPr>
          <w:sz w:val="26"/>
          <w:lang w:val="en-CA"/>
        </w:rPr>
        <w:t>parliament</w:t>
      </w:r>
      <w:r w:rsidRPr="001418B7">
        <w:rPr>
          <w:sz w:val="26"/>
          <w:lang w:val="en-CA"/>
        </w:rPr>
        <w:t>ary institutions</w:t>
      </w:r>
      <w:r w:rsidR="00736021">
        <w:rPr>
          <w:sz w:val="26"/>
          <w:lang w:val="en-CA"/>
        </w:rPr>
        <w:t xml:space="preserve">. </w:t>
      </w:r>
      <w:r w:rsidR="009079E3">
        <w:rPr>
          <w:sz w:val="26"/>
          <w:lang w:val="en-CA"/>
        </w:rPr>
        <w:t xml:space="preserve"> Those institutions form the foundation of our free and democratic system</w:t>
      </w:r>
      <w:r w:rsidR="00E56031">
        <w:rPr>
          <w:sz w:val="26"/>
          <w:lang w:val="en-CA"/>
        </w:rPr>
        <w:t xml:space="preserve"> and require</w:t>
      </w:r>
      <w:r w:rsidR="005078BC">
        <w:rPr>
          <w:sz w:val="26"/>
          <w:lang w:val="en-CA"/>
        </w:rPr>
        <w:t xml:space="preserve"> the court’s protection. </w:t>
      </w:r>
      <w:r w:rsidR="00AE37FA">
        <w:rPr>
          <w:sz w:val="26"/>
          <w:lang w:val="en-CA"/>
        </w:rPr>
        <w:t>Th</w:t>
      </w:r>
      <w:r w:rsidR="00502BFE">
        <w:rPr>
          <w:sz w:val="26"/>
          <w:lang w:val="en-CA"/>
        </w:rPr>
        <w:t>is is particularly so</w:t>
      </w:r>
      <w:r w:rsidR="006204B9" w:rsidRPr="001418B7">
        <w:rPr>
          <w:sz w:val="26"/>
          <w:lang w:val="en-CA"/>
        </w:rPr>
        <w:t xml:space="preserve"> in the sentencing of</w:t>
      </w:r>
      <w:r w:rsidR="00502BFE">
        <w:rPr>
          <w:sz w:val="26"/>
          <w:lang w:val="en-CA"/>
        </w:rPr>
        <w:t xml:space="preserve"> this defendant </w:t>
      </w:r>
      <w:r w:rsidR="00FB79E3" w:rsidRPr="001418B7">
        <w:rPr>
          <w:sz w:val="26"/>
          <w:lang w:val="en-CA"/>
        </w:rPr>
        <w:t>wh</w:t>
      </w:r>
      <w:r w:rsidR="003F2E9E" w:rsidRPr="001418B7">
        <w:rPr>
          <w:sz w:val="26"/>
          <w:lang w:val="en-CA"/>
        </w:rPr>
        <w:t>o abused</w:t>
      </w:r>
      <w:r w:rsidR="00FB79E3" w:rsidRPr="001418B7">
        <w:rPr>
          <w:sz w:val="26"/>
          <w:lang w:val="en-CA"/>
        </w:rPr>
        <w:t xml:space="preserve"> a position</w:t>
      </w:r>
      <w:r w:rsidR="002825C8" w:rsidRPr="001418B7">
        <w:rPr>
          <w:sz w:val="26"/>
          <w:lang w:val="en-CA"/>
        </w:rPr>
        <w:t xml:space="preserve"> of power and engaged in criminal conduct to promote the interests of the governing party at the expense of democratic accountability.</w:t>
      </w:r>
    </w:p>
    <w:p w:rsidR="00A812E5" w:rsidRPr="001418B7" w:rsidRDefault="00A812E5" w:rsidP="0067505C">
      <w:pPr>
        <w:pStyle w:val="MAINPARAGRAPH"/>
        <w:rPr>
          <w:sz w:val="26"/>
          <w:lang w:val="en-CA"/>
        </w:rPr>
      </w:pPr>
      <w:r w:rsidRPr="001418B7">
        <w:rPr>
          <w:sz w:val="26"/>
          <w:lang w:val="en-CA"/>
        </w:rPr>
        <w:t xml:space="preserve">A conditional discharge, as proposed by counsel for the defendant, would be entirely disproportionate to the seriousness of Mr. Livingston’s criminal conduct and his </w:t>
      </w:r>
      <w:r w:rsidR="003F2E9E" w:rsidRPr="001418B7">
        <w:rPr>
          <w:sz w:val="26"/>
          <w:lang w:val="en-CA"/>
        </w:rPr>
        <w:t xml:space="preserve">high </w:t>
      </w:r>
      <w:r w:rsidRPr="001418B7">
        <w:rPr>
          <w:sz w:val="26"/>
          <w:lang w:val="en-CA"/>
        </w:rPr>
        <w:t xml:space="preserve">degree of </w:t>
      </w:r>
      <w:r w:rsidR="00F15254" w:rsidRPr="001418B7">
        <w:rPr>
          <w:sz w:val="26"/>
          <w:lang w:val="en-CA"/>
        </w:rPr>
        <w:t>responsibility. Such a sentence</w:t>
      </w:r>
      <w:r w:rsidR="003F2E9E" w:rsidRPr="001418B7">
        <w:rPr>
          <w:sz w:val="26"/>
          <w:lang w:val="en-CA"/>
        </w:rPr>
        <w:t xml:space="preserve"> would be</w:t>
      </w:r>
      <w:r w:rsidR="009546CF" w:rsidRPr="001418B7">
        <w:rPr>
          <w:sz w:val="26"/>
          <w:lang w:val="en-CA"/>
        </w:rPr>
        <w:t xml:space="preserve"> utterly</w:t>
      </w:r>
      <w:r w:rsidRPr="001418B7">
        <w:rPr>
          <w:sz w:val="26"/>
          <w:lang w:val="en-CA"/>
        </w:rPr>
        <w:t xml:space="preserve"> contrary to the public interest.</w:t>
      </w:r>
    </w:p>
    <w:p w:rsidR="00FC25E3" w:rsidRPr="001418B7" w:rsidRDefault="00495606" w:rsidP="0067505C">
      <w:pPr>
        <w:pStyle w:val="MAINPARAGRAPH"/>
        <w:rPr>
          <w:sz w:val="26"/>
          <w:lang w:val="en-CA"/>
        </w:rPr>
      </w:pPr>
      <w:r w:rsidRPr="001418B7">
        <w:rPr>
          <w:sz w:val="26"/>
          <w:lang w:val="en-CA"/>
        </w:rPr>
        <w:t>In view of the gravity</w:t>
      </w:r>
      <w:r w:rsidR="0066508B" w:rsidRPr="001418B7">
        <w:rPr>
          <w:sz w:val="26"/>
          <w:lang w:val="en-CA"/>
        </w:rPr>
        <w:t xml:space="preserve"> of the offence</w:t>
      </w:r>
      <w:r w:rsidR="006204B9" w:rsidRPr="001418B7">
        <w:rPr>
          <w:sz w:val="26"/>
          <w:lang w:val="en-CA"/>
        </w:rPr>
        <w:t xml:space="preserve"> and the moral blameworthiness of the defendant</w:t>
      </w:r>
      <w:r w:rsidR="0066508B" w:rsidRPr="001418B7">
        <w:rPr>
          <w:sz w:val="26"/>
          <w:lang w:val="en-CA"/>
        </w:rPr>
        <w:t>, I am of the vie</w:t>
      </w:r>
      <w:r w:rsidR="003341B8" w:rsidRPr="001418B7">
        <w:rPr>
          <w:sz w:val="26"/>
          <w:lang w:val="en-CA"/>
        </w:rPr>
        <w:t xml:space="preserve">w that anything less than a period of </w:t>
      </w:r>
      <w:r w:rsidR="00107C22" w:rsidRPr="001418B7">
        <w:rPr>
          <w:sz w:val="26"/>
          <w:lang w:val="en-CA"/>
        </w:rPr>
        <w:t>imprisonment would</w:t>
      </w:r>
      <w:r w:rsidR="003375FD" w:rsidRPr="001418B7">
        <w:rPr>
          <w:sz w:val="26"/>
          <w:lang w:val="en-CA"/>
        </w:rPr>
        <w:t xml:space="preserve"> </w:t>
      </w:r>
      <w:r w:rsidR="003375FD" w:rsidRPr="001418B7">
        <w:rPr>
          <w:sz w:val="26"/>
          <w:lang w:val="en-CA"/>
        </w:rPr>
        <w:lastRenderedPageBreak/>
        <w:t>fall short of adequately</w:t>
      </w:r>
      <w:r w:rsidR="00B2128D" w:rsidRPr="001418B7">
        <w:rPr>
          <w:sz w:val="26"/>
          <w:lang w:val="en-CA"/>
        </w:rPr>
        <w:t xml:space="preserve"> denouncing Mr. </w:t>
      </w:r>
      <w:r w:rsidR="009546CF" w:rsidRPr="001418B7">
        <w:rPr>
          <w:sz w:val="26"/>
          <w:lang w:val="en-CA"/>
        </w:rPr>
        <w:t>Livingston’s</w:t>
      </w:r>
      <w:r w:rsidR="00B2128D" w:rsidRPr="001418B7">
        <w:rPr>
          <w:sz w:val="26"/>
          <w:lang w:val="en-CA"/>
        </w:rPr>
        <w:t xml:space="preserve"> conduct </w:t>
      </w:r>
      <w:r w:rsidR="003375FD" w:rsidRPr="001418B7">
        <w:rPr>
          <w:sz w:val="26"/>
          <w:lang w:val="en-CA"/>
        </w:rPr>
        <w:t>and</w:t>
      </w:r>
      <w:r w:rsidR="00F6087D" w:rsidRPr="001418B7">
        <w:rPr>
          <w:sz w:val="26"/>
          <w:lang w:val="en-CA"/>
        </w:rPr>
        <w:t xml:space="preserve"> deterring similarly</w:t>
      </w:r>
      <w:r w:rsidR="00D4560A">
        <w:rPr>
          <w:sz w:val="26"/>
          <w:lang w:val="en-CA"/>
        </w:rPr>
        <w:t>-</w:t>
      </w:r>
      <w:r w:rsidR="00F6087D" w:rsidRPr="001418B7">
        <w:rPr>
          <w:sz w:val="26"/>
          <w:lang w:val="en-CA"/>
        </w:rPr>
        <w:t>minded individuals from tak</w:t>
      </w:r>
      <w:r w:rsidR="00B80057" w:rsidRPr="001418B7">
        <w:rPr>
          <w:sz w:val="26"/>
          <w:lang w:val="en-CA"/>
        </w:rPr>
        <w:t>ing pa</w:t>
      </w:r>
      <w:r w:rsidR="003375FD" w:rsidRPr="001418B7">
        <w:rPr>
          <w:sz w:val="26"/>
          <w:lang w:val="en-CA"/>
        </w:rPr>
        <w:t>rt in the type of activity that</w:t>
      </w:r>
      <w:r w:rsidR="00D4560A">
        <w:rPr>
          <w:sz w:val="26"/>
          <w:lang w:val="en-CA"/>
        </w:rPr>
        <w:t xml:space="preserve"> occurred here</w:t>
      </w:r>
      <w:r w:rsidR="00F6087D" w:rsidRPr="001418B7">
        <w:rPr>
          <w:sz w:val="26"/>
          <w:lang w:val="en-CA"/>
        </w:rPr>
        <w:t>.</w:t>
      </w:r>
    </w:p>
    <w:p w:rsidR="00E67F7B" w:rsidRPr="001418B7" w:rsidRDefault="00E56031" w:rsidP="0067505C">
      <w:pPr>
        <w:pStyle w:val="MAINPARAGRAPH"/>
        <w:rPr>
          <w:sz w:val="26"/>
          <w:lang w:val="en-CA"/>
        </w:rPr>
      </w:pPr>
      <w:r>
        <w:rPr>
          <w:sz w:val="26"/>
          <w:lang w:val="en-CA"/>
        </w:rPr>
        <w:t xml:space="preserve">I have </w:t>
      </w:r>
      <w:r w:rsidR="00107C22" w:rsidRPr="001418B7">
        <w:rPr>
          <w:sz w:val="26"/>
          <w:lang w:val="en-CA"/>
        </w:rPr>
        <w:t>carefully considered whether a conditional sent</w:t>
      </w:r>
      <w:r w:rsidR="00052848" w:rsidRPr="001418B7">
        <w:rPr>
          <w:sz w:val="26"/>
          <w:lang w:val="en-CA"/>
        </w:rPr>
        <w:t>ence is appropriate</w:t>
      </w:r>
      <w:r w:rsidR="00107C22" w:rsidRPr="001418B7">
        <w:rPr>
          <w:sz w:val="26"/>
          <w:lang w:val="en-CA"/>
        </w:rPr>
        <w:t>.</w:t>
      </w:r>
      <w:r>
        <w:rPr>
          <w:sz w:val="26"/>
          <w:lang w:val="en-CA"/>
        </w:rPr>
        <w:t xml:space="preserve"> Certainly </w:t>
      </w:r>
      <w:r w:rsidR="00397738" w:rsidRPr="001418B7">
        <w:rPr>
          <w:sz w:val="26"/>
          <w:lang w:val="en-CA"/>
        </w:rPr>
        <w:t>the</w:t>
      </w:r>
      <w:r w:rsidR="0094778A" w:rsidRPr="001418B7">
        <w:rPr>
          <w:sz w:val="26"/>
          <w:lang w:val="en-CA"/>
        </w:rPr>
        <w:t xml:space="preserve"> statutory prerequisites</w:t>
      </w:r>
      <w:r w:rsidR="006E2E12" w:rsidRPr="001418B7">
        <w:rPr>
          <w:sz w:val="26"/>
          <w:lang w:val="en-CA"/>
        </w:rPr>
        <w:t xml:space="preserve"> found in s. 742.1</w:t>
      </w:r>
      <w:r w:rsidR="0094778A" w:rsidRPr="001418B7">
        <w:rPr>
          <w:sz w:val="26"/>
          <w:lang w:val="en-CA"/>
        </w:rPr>
        <w:t xml:space="preserve"> are me</w:t>
      </w:r>
      <w:r w:rsidR="007C4C13">
        <w:rPr>
          <w:sz w:val="26"/>
          <w:lang w:val="en-CA"/>
        </w:rPr>
        <w:t>t in this case. The offence of Unauthorized Use of a C</w:t>
      </w:r>
      <w:r w:rsidR="0094778A" w:rsidRPr="001418B7">
        <w:rPr>
          <w:sz w:val="26"/>
          <w:lang w:val="en-CA"/>
        </w:rPr>
        <w:t>omputer is not punishable by a minimum term of imprisonment</w:t>
      </w:r>
      <w:r w:rsidR="00C943CF">
        <w:rPr>
          <w:sz w:val="26"/>
          <w:lang w:val="en-CA"/>
        </w:rPr>
        <w:t>. There is no dispute that a</w:t>
      </w:r>
      <w:r w:rsidR="00496686" w:rsidRPr="001418B7">
        <w:rPr>
          <w:sz w:val="26"/>
          <w:lang w:val="en-CA"/>
        </w:rPr>
        <w:t xml:space="preserve"> sentence of less than two years less a day is fit and appropriate. The safety of the comm</w:t>
      </w:r>
      <w:r w:rsidR="00E14396">
        <w:rPr>
          <w:sz w:val="26"/>
          <w:lang w:val="en-CA"/>
        </w:rPr>
        <w:t>unity would not be endangered were the defendant to serve</w:t>
      </w:r>
      <w:r w:rsidR="00496686" w:rsidRPr="001418B7">
        <w:rPr>
          <w:sz w:val="26"/>
          <w:lang w:val="en-CA"/>
        </w:rPr>
        <w:t xml:space="preserve"> his sentence in the community.</w:t>
      </w:r>
      <w:r w:rsidR="00E01249" w:rsidRPr="001418B7">
        <w:rPr>
          <w:sz w:val="26"/>
          <w:lang w:val="en-CA"/>
        </w:rPr>
        <w:t xml:space="preserve"> </w:t>
      </w:r>
      <w:r w:rsidR="006E2E12" w:rsidRPr="001418B7">
        <w:rPr>
          <w:sz w:val="26"/>
          <w:lang w:val="en-CA"/>
        </w:rPr>
        <w:t>The Supreme Court of Canada has said</w:t>
      </w:r>
      <w:r w:rsidR="000220B0" w:rsidRPr="001418B7">
        <w:rPr>
          <w:sz w:val="26"/>
          <w:lang w:val="en-CA"/>
        </w:rPr>
        <w:t xml:space="preserve"> that a</w:t>
      </w:r>
      <w:r w:rsidR="00220360">
        <w:rPr>
          <w:sz w:val="26"/>
          <w:lang w:val="en-CA"/>
        </w:rPr>
        <w:t xml:space="preserve"> conditional sentence may</w:t>
      </w:r>
      <w:r w:rsidR="00B919EF">
        <w:rPr>
          <w:sz w:val="26"/>
          <w:lang w:val="en-CA"/>
        </w:rPr>
        <w:t xml:space="preserve"> </w:t>
      </w:r>
      <w:r w:rsidR="00220360">
        <w:rPr>
          <w:sz w:val="26"/>
          <w:lang w:val="en-CA"/>
        </w:rPr>
        <w:t xml:space="preserve">be </w:t>
      </w:r>
      <w:r w:rsidR="00891A28" w:rsidRPr="001418B7">
        <w:rPr>
          <w:sz w:val="26"/>
          <w:lang w:val="en-CA"/>
        </w:rPr>
        <w:t>reasonable</w:t>
      </w:r>
      <w:r w:rsidR="00AE03D8">
        <w:rPr>
          <w:sz w:val="26"/>
          <w:lang w:val="en-CA"/>
        </w:rPr>
        <w:t>,</w:t>
      </w:r>
      <w:r w:rsidR="00891A28" w:rsidRPr="001418B7">
        <w:rPr>
          <w:sz w:val="26"/>
          <w:lang w:val="en-CA"/>
        </w:rPr>
        <w:t xml:space="preserve"> even where denunciation and deterrence are the predominant sentencing objectives</w:t>
      </w:r>
      <w:r w:rsidR="00FE6650" w:rsidRPr="001418B7">
        <w:rPr>
          <w:sz w:val="26"/>
          <w:lang w:val="en-CA"/>
        </w:rPr>
        <w:t>.</w:t>
      </w:r>
      <w:r w:rsidR="00E002A4" w:rsidRPr="001418B7">
        <w:rPr>
          <w:rStyle w:val="FootnoteReference"/>
          <w:sz w:val="26"/>
          <w:lang w:val="en-CA"/>
        </w:rPr>
        <w:footnoteReference w:id="11"/>
      </w:r>
      <w:r w:rsidR="00C943CF">
        <w:rPr>
          <w:sz w:val="26"/>
          <w:lang w:val="en-CA"/>
        </w:rPr>
        <w:t xml:space="preserve"> </w:t>
      </w:r>
      <w:r w:rsidR="00181FF8" w:rsidRPr="001418B7">
        <w:rPr>
          <w:sz w:val="26"/>
          <w:lang w:val="en-CA"/>
        </w:rPr>
        <w:t>It is</w:t>
      </w:r>
      <w:r w:rsidR="00C943CF">
        <w:rPr>
          <w:sz w:val="26"/>
          <w:lang w:val="en-CA"/>
        </w:rPr>
        <w:t xml:space="preserve"> also</w:t>
      </w:r>
      <w:r w:rsidR="00181FF8" w:rsidRPr="001418B7">
        <w:rPr>
          <w:sz w:val="26"/>
          <w:lang w:val="en-CA"/>
        </w:rPr>
        <w:t xml:space="preserve"> well settled that </w:t>
      </w:r>
      <w:r w:rsidR="00592E49">
        <w:rPr>
          <w:sz w:val="26"/>
          <w:lang w:val="en-CA"/>
        </w:rPr>
        <w:t xml:space="preserve">the </w:t>
      </w:r>
      <w:r w:rsidR="00181FF8" w:rsidRPr="001418B7">
        <w:rPr>
          <w:sz w:val="26"/>
          <w:lang w:val="en-CA"/>
        </w:rPr>
        <w:t xml:space="preserve">prominence of these sentencing objectives </w:t>
      </w:r>
      <w:r w:rsidR="00B80914" w:rsidRPr="001418B7">
        <w:rPr>
          <w:sz w:val="26"/>
          <w:lang w:val="en-CA"/>
        </w:rPr>
        <w:t>does not, on its own</w:t>
      </w:r>
      <w:r w:rsidR="00592E49">
        <w:rPr>
          <w:sz w:val="26"/>
          <w:lang w:val="en-CA"/>
        </w:rPr>
        <w:t>,</w:t>
      </w:r>
      <w:r w:rsidR="00B80914" w:rsidRPr="001418B7">
        <w:rPr>
          <w:sz w:val="26"/>
          <w:lang w:val="en-CA"/>
        </w:rPr>
        <w:t xml:space="preserve"> foreclo</w:t>
      </w:r>
      <w:r w:rsidR="00E14396">
        <w:rPr>
          <w:sz w:val="26"/>
          <w:lang w:val="en-CA"/>
        </w:rPr>
        <w:t xml:space="preserve">se this manner of disposition </w:t>
      </w:r>
      <w:r w:rsidR="00B80914" w:rsidRPr="001418B7">
        <w:rPr>
          <w:sz w:val="26"/>
          <w:lang w:val="en-CA"/>
        </w:rPr>
        <w:t>as a sentencing alternative, since a properly crafted conditional sentence can fully address both objectives.</w:t>
      </w:r>
      <w:r w:rsidR="00727E6C" w:rsidRPr="001418B7">
        <w:rPr>
          <w:rStyle w:val="FootnoteReference"/>
          <w:sz w:val="26"/>
          <w:lang w:val="en-CA"/>
        </w:rPr>
        <w:footnoteReference w:id="12"/>
      </w:r>
    </w:p>
    <w:p w:rsidR="001E6781" w:rsidRPr="001418B7" w:rsidRDefault="00EB32C6" w:rsidP="0067505C">
      <w:pPr>
        <w:pStyle w:val="MAINPARAGRAPH"/>
        <w:rPr>
          <w:sz w:val="26"/>
          <w:lang w:val="en-CA"/>
        </w:rPr>
      </w:pPr>
      <w:r w:rsidRPr="001418B7">
        <w:rPr>
          <w:sz w:val="26"/>
          <w:lang w:val="en-CA"/>
        </w:rPr>
        <w:t>The real issue</w:t>
      </w:r>
      <w:r w:rsidR="00AB7D9C">
        <w:rPr>
          <w:sz w:val="26"/>
          <w:lang w:val="en-CA"/>
        </w:rPr>
        <w:t xml:space="preserve">, however, </w:t>
      </w:r>
      <w:r w:rsidR="00D124A2" w:rsidRPr="001418B7">
        <w:rPr>
          <w:sz w:val="26"/>
          <w:lang w:val="en-CA"/>
        </w:rPr>
        <w:t>is whether a conditional sentence would be consistent with the fundamental purpose and principles of sentencing</w:t>
      </w:r>
      <w:r w:rsidR="00AB7D9C">
        <w:rPr>
          <w:sz w:val="26"/>
          <w:lang w:val="en-CA"/>
        </w:rPr>
        <w:t xml:space="preserve"> set out</w:t>
      </w:r>
      <w:r w:rsidR="00B919EF">
        <w:rPr>
          <w:sz w:val="26"/>
          <w:lang w:val="en-CA"/>
        </w:rPr>
        <w:t xml:space="preserve"> in ss. 718 to 718.2.</w:t>
      </w:r>
    </w:p>
    <w:p w:rsidR="00C970B2" w:rsidRPr="001418B7" w:rsidRDefault="00E51A70" w:rsidP="0067505C">
      <w:pPr>
        <w:pStyle w:val="MAINPARAGRAPH"/>
        <w:rPr>
          <w:sz w:val="26"/>
          <w:lang w:val="en-CA"/>
        </w:rPr>
      </w:pPr>
      <w:r w:rsidRPr="001418B7">
        <w:rPr>
          <w:sz w:val="26"/>
          <w:lang w:val="en-CA"/>
        </w:rPr>
        <w:t xml:space="preserve">The Supreme Court of Canada has held that while conditional </w:t>
      </w:r>
      <w:r w:rsidR="007F4C10">
        <w:rPr>
          <w:sz w:val="26"/>
          <w:lang w:val="en-CA"/>
        </w:rPr>
        <w:t xml:space="preserve">sentences can </w:t>
      </w:r>
      <w:r w:rsidRPr="001418B7">
        <w:rPr>
          <w:sz w:val="26"/>
          <w:lang w:val="en-CA"/>
        </w:rPr>
        <w:t>be appropriate in cases where deterrence is paramount</w:t>
      </w:r>
      <w:r w:rsidR="00FA1A1A" w:rsidRPr="001418B7">
        <w:rPr>
          <w:sz w:val="26"/>
          <w:lang w:val="en-CA"/>
        </w:rPr>
        <w:t>, incarceration is ordinarily a harsher sanction and may provide more deterrence than a conditional sentence.</w:t>
      </w:r>
      <w:r w:rsidR="004D78D1" w:rsidRPr="001418B7">
        <w:rPr>
          <w:rStyle w:val="FootnoteReference"/>
          <w:sz w:val="26"/>
          <w:lang w:val="en-CA"/>
        </w:rPr>
        <w:footnoteReference w:id="13"/>
      </w:r>
      <w:r w:rsidR="00FA1A1A" w:rsidRPr="001418B7">
        <w:rPr>
          <w:sz w:val="26"/>
          <w:lang w:val="en-CA"/>
        </w:rPr>
        <w:t xml:space="preserve"> The appropriateness of incarceration</w:t>
      </w:r>
      <w:r w:rsidR="00C0471E" w:rsidRPr="001418B7">
        <w:rPr>
          <w:sz w:val="26"/>
          <w:lang w:val="en-CA"/>
        </w:rPr>
        <w:t xml:space="preserve"> in a given case</w:t>
      </w:r>
      <w:r w:rsidR="00AA1E24" w:rsidRPr="001418B7">
        <w:rPr>
          <w:sz w:val="26"/>
          <w:lang w:val="en-CA"/>
        </w:rPr>
        <w:t xml:space="preserve"> will depend</w:t>
      </w:r>
      <w:r w:rsidR="00AB7D9C">
        <w:rPr>
          <w:sz w:val="26"/>
          <w:lang w:val="en-CA"/>
        </w:rPr>
        <w:t>,</w:t>
      </w:r>
      <w:r w:rsidR="00AA1E24" w:rsidRPr="001418B7">
        <w:rPr>
          <w:sz w:val="26"/>
          <w:lang w:val="en-CA"/>
        </w:rPr>
        <w:t xml:space="preserve"> in part</w:t>
      </w:r>
      <w:r w:rsidR="00AB7D9C">
        <w:rPr>
          <w:sz w:val="26"/>
          <w:lang w:val="en-CA"/>
        </w:rPr>
        <w:t>,</w:t>
      </w:r>
      <w:r w:rsidR="00AA1E24" w:rsidRPr="001418B7">
        <w:rPr>
          <w:sz w:val="26"/>
          <w:lang w:val="en-CA"/>
        </w:rPr>
        <w:t xml:space="preserve"> on “whether the offence is one in which the effects of incarceration are likely to have a real deterrent effect.</w:t>
      </w:r>
      <w:r w:rsidR="008149A5" w:rsidRPr="001418B7">
        <w:rPr>
          <w:sz w:val="26"/>
          <w:lang w:val="en-CA"/>
        </w:rPr>
        <w:t>”</w:t>
      </w:r>
      <w:r w:rsidR="00C85546" w:rsidRPr="001418B7">
        <w:rPr>
          <w:sz w:val="26"/>
          <w:lang w:val="en-CA"/>
        </w:rPr>
        <w:t xml:space="preserve"> </w:t>
      </w:r>
      <w:r w:rsidR="00C0471E" w:rsidRPr="001418B7">
        <w:rPr>
          <w:sz w:val="26"/>
          <w:lang w:val="en-CA"/>
        </w:rPr>
        <w:t xml:space="preserve"> </w:t>
      </w:r>
    </w:p>
    <w:p w:rsidR="00A15102" w:rsidRDefault="00977FF9" w:rsidP="00393130">
      <w:pPr>
        <w:pStyle w:val="MAINPARAGRAPH"/>
        <w:rPr>
          <w:sz w:val="26"/>
          <w:lang w:val="en-CA"/>
        </w:rPr>
      </w:pPr>
      <w:r w:rsidRPr="001418B7">
        <w:rPr>
          <w:sz w:val="26"/>
          <w:lang w:val="en-CA"/>
        </w:rPr>
        <w:t>I am of the view that a conditional senten</w:t>
      </w:r>
      <w:r w:rsidR="00393130" w:rsidRPr="001418B7">
        <w:rPr>
          <w:sz w:val="26"/>
          <w:lang w:val="en-CA"/>
        </w:rPr>
        <w:t xml:space="preserve">ce would </w:t>
      </w:r>
      <w:r w:rsidR="00017D0A" w:rsidRPr="001418B7">
        <w:rPr>
          <w:sz w:val="26"/>
          <w:lang w:val="en-CA"/>
        </w:rPr>
        <w:t xml:space="preserve">not adequately meet </w:t>
      </w:r>
      <w:r w:rsidR="00AE03D8">
        <w:rPr>
          <w:sz w:val="26"/>
          <w:lang w:val="en-CA"/>
        </w:rPr>
        <w:t>the need</w:t>
      </w:r>
      <w:r w:rsidR="00B919EF">
        <w:rPr>
          <w:sz w:val="26"/>
          <w:lang w:val="en-CA"/>
        </w:rPr>
        <w:t xml:space="preserve"> of</w:t>
      </w:r>
      <w:r w:rsidR="00393130" w:rsidRPr="001418B7">
        <w:rPr>
          <w:sz w:val="26"/>
          <w:lang w:val="en-CA"/>
        </w:rPr>
        <w:t xml:space="preserve"> </w:t>
      </w:r>
      <w:r w:rsidR="004D2184" w:rsidRPr="001418B7">
        <w:rPr>
          <w:sz w:val="26"/>
          <w:lang w:val="en-CA"/>
        </w:rPr>
        <w:t>either denunciation or</w:t>
      </w:r>
      <w:r w:rsidR="00393130" w:rsidRPr="001418B7">
        <w:rPr>
          <w:sz w:val="26"/>
          <w:lang w:val="en-CA"/>
        </w:rPr>
        <w:t xml:space="preserve"> deterre</w:t>
      </w:r>
      <w:r w:rsidR="00FF463F" w:rsidRPr="001418B7">
        <w:rPr>
          <w:sz w:val="26"/>
          <w:lang w:val="en-CA"/>
        </w:rPr>
        <w:t>nce</w:t>
      </w:r>
      <w:r w:rsidR="00AB7D9C">
        <w:rPr>
          <w:sz w:val="26"/>
          <w:lang w:val="en-CA"/>
        </w:rPr>
        <w:t xml:space="preserve"> that are present</w:t>
      </w:r>
      <w:r w:rsidR="00FF463F" w:rsidRPr="001418B7">
        <w:rPr>
          <w:sz w:val="26"/>
          <w:lang w:val="en-CA"/>
        </w:rPr>
        <w:t xml:space="preserve"> in this case.</w:t>
      </w:r>
      <w:r w:rsidR="0070295D" w:rsidRPr="001418B7">
        <w:rPr>
          <w:sz w:val="26"/>
          <w:lang w:val="en-CA"/>
        </w:rPr>
        <w:t xml:space="preserve"> </w:t>
      </w:r>
      <w:r w:rsidR="00FF463F" w:rsidRPr="001418B7">
        <w:rPr>
          <w:sz w:val="26"/>
          <w:lang w:val="en-CA"/>
        </w:rPr>
        <w:t xml:space="preserve"> An attempt to tamper with the</w:t>
      </w:r>
      <w:r w:rsidR="00017D0A" w:rsidRPr="001418B7">
        <w:rPr>
          <w:sz w:val="26"/>
          <w:lang w:val="en-CA"/>
        </w:rPr>
        <w:t xml:space="preserve"> democ</w:t>
      </w:r>
      <w:r w:rsidR="00332D6A" w:rsidRPr="001418B7">
        <w:rPr>
          <w:sz w:val="26"/>
          <w:lang w:val="en-CA"/>
        </w:rPr>
        <w:t xml:space="preserve">ratic process requires a strong </w:t>
      </w:r>
      <w:r w:rsidR="006F25D6" w:rsidRPr="001418B7">
        <w:rPr>
          <w:sz w:val="26"/>
          <w:lang w:val="en-CA"/>
        </w:rPr>
        <w:t>denunciatory</w:t>
      </w:r>
      <w:r w:rsidR="006F25D6">
        <w:rPr>
          <w:sz w:val="26"/>
          <w:lang w:val="en-CA"/>
        </w:rPr>
        <w:t xml:space="preserve"> </w:t>
      </w:r>
      <w:r w:rsidR="006F25D6" w:rsidRPr="001418B7">
        <w:rPr>
          <w:sz w:val="26"/>
          <w:lang w:val="en-CA"/>
        </w:rPr>
        <w:t>response</w:t>
      </w:r>
      <w:r w:rsidR="00696C0F" w:rsidRPr="001418B7">
        <w:rPr>
          <w:sz w:val="26"/>
          <w:lang w:val="en-CA"/>
        </w:rPr>
        <w:t>.</w:t>
      </w:r>
      <w:r w:rsidR="00332D6A" w:rsidRPr="001418B7">
        <w:rPr>
          <w:sz w:val="26"/>
          <w:lang w:val="en-CA"/>
        </w:rPr>
        <w:t xml:space="preserve"> </w:t>
      </w:r>
      <w:r w:rsidR="00696C0F" w:rsidRPr="001418B7">
        <w:rPr>
          <w:sz w:val="26"/>
          <w:lang w:val="en-CA"/>
        </w:rPr>
        <w:t>The judicial system has</w:t>
      </w:r>
      <w:r w:rsidR="00B272A3" w:rsidRPr="001418B7">
        <w:rPr>
          <w:sz w:val="26"/>
          <w:lang w:val="en-CA"/>
        </w:rPr>
        <w:t xml:space="preserve"> a duty to prote</w:t>
      </w:r>
      <w:r w:rsidR="002448C2" w:rsidRPr="001418B7">
        <w:rPr>
          <w:sz w:val="26"/>
          <w:lang w:val="en-CA"/>
        </w:rPr>
        <w:t>ct the democratic process from attempts</w:t>
      </w:r>
      <w:r w:rsidR="00DA5166" w:rsidRPr="001418B7">
        <w:rPr>
          <w:sz w:val="26"/>
          <w:lang w:val="en-CA"/>
        </w:rPr>
        <w:t xml:space="preserve">, </w:t>
      </w:r>
      <w:r w:rsidR="00241C7F">
        <w:rPr>
          <w:sz w:val="26"/>
          <w:lang w:val="en-CA"/>
        </w:rPr>
        <w:t>such as occurred here</w:t>
      </w:r>
      <w:r w:rsidR="00DA5166" w:rsidRPr="001418B7">
        <w:rPr>
          <w:sz w:val="26"/>
          <w:lang w:val="en-CA"/>
        </w:rPr>
        <w:t>,</w:t>
      </w:r>
      <w:r w:rsidR="002448C2" w:rsidRPr="001418B7">
        <w:rPr>
          <w:sz w:val="26"/>
          <w:lang w:val="en-CA"/>
        </w:rPr>
        <w:t xml:space="preserve"> </w:t>
      </w:r>
      <w:r w:rsidR="00037381" w:rsidRPr="001418B7">
        <w:rPr>
          <w:sz w:val="26"/>
          <w:lang w:val="en-CA"/>
        </w:rPr>
        <w:t xml:space="preserve">to </w:t>
      </w:r>
      <w:r w:rsidR="00B272A3" w:rsidRPr="001418B7">
        <w:rPr>
          <w:sz w:val="26"/>
          <w:lang w:val="en-CA"/>
        </w:rPr>
        <w:t>undermine</w:t>
      </w:r>
      <w:r w:rsidR="00FE601D" w:rsidRPr="001418B7">
        <w:rPr>
          <w:sz w:val="26"/>
          <w:lang w:val="en-CA"/>
        </w:rPr>
        <w:t xml:space="preserve"> its proper functioning</w:t>
      </w:r>
      <w:r w:rsidR="005D0F69" w:rsidRPr="001418B7">
        <w:rPr>
          <w:sz w:val="26"/>
          <w:lang w:val="en-CA"/>
        </w:rPr>
        <w:t xml:space="preserve">. Mr. Livingston engaged in the type of conduct that </w:t>
      </w:r>
      <w:r w:rsidR="00940415" w:rsidRPr="001418B7">
        <w:rPr>
          <w:sz w:val="26"/>
          <w:lang w:val="en-CA"/>
        </w:rPr>
        <w:t xml:space="preserve">tends </w:t>
      </w:r>
      <w:r w:rsidR="00241C7F">
        <w:rPr>
          <w:sz w:val="26"/>
          <w:lang w:val="en-CA"/>
        </w:rPr>
        <w:t>to engender</w:t>
      </w:r>
      <w:r w:rsidR="00E2601E">
        <w:rPr>
          <w:sz w:val="26"/>
          <w:lang w:val="en-CA"/>
        </w:rPr>
        <w:t xml:space="preserve"> </w:t>
      </w:r>
      <w:r w:rsidR="0007211A" w:rsidRPr="001418B7">
        <w:rPr>
          <w:sz w:val="26"/>
          <w:lang w:val="en-CA"/>
        </w:rPr>
        <w:t xml:space="preserve">public </w:t>
      </w:r>
      <w:r w:rsidR="00282658" w:rsidRPr="001418B7">
        <w:rPr>
          <w:sz w:val="26"/>
          <w:lang w:val="en-CA"/>
        </w:rPr>
        <w:t>cynicism</w:t>
      </w:r>
      <w:r w:rsidR="00326527" w:rsidRPr="001418B7">
        <w:rPr>
          <w:sz w:val="26"/>
          <w:lang w:val="en-CA"/>
        </w:rPr>
        <w:t xml:space="preserve"> in</w:t>
      </w:r>
      <w:r w:rsidR="00282658" w:rsidRPr="001418B7">
        <w:rPr>
          <w:sz w:val="26"/>
          <w:lang w:val="en-CA"/>
        </w:rPr>
        <w:t xml:space="preserve"> and diminished </w:t>
      </w:r>
      <w:r w:rsidR="00CB19A6" w:rsidRPr="001418B7">
        <w:rPr>
          <w:sz w:val="26"/>
          <w:lang w:val="en-CA"/>
        </w:rPr>
        <w:t>respect</w:t>
      </w:r>
      <w:r w:rsidR="00282658" w:rsidRPr="001418B7">
        <w:rPr>
          <w:sz w:val="26"/>
          <w:lang w:val="en-CA"/>
        </w:rPr>
        <w:t xml:space="preserve"> </w:t>
      </w:r>
      <w:r w:rsidR="00326527" w:rsidRPr="001418B7">
        <w:rPr>
          <w:sz w:val="26"/>
          <w:lang w:val="en-CA"/>
        </w:rPr>
        <w:t>for our democratic institutions</w:t>
      </w:r>
      <w:r w:rsidR="006C2D2F" w:rsidRPr="001418B7">
        <w:rPr>
          <w:sz w:val="26"/>
          <w:lang w:val="en-CA"/>
        </w:rPr>
        <w:t xml:space="preserve">. </w:t>
      </w:r>
      <w:r w:rsidR="00E43CE6">
        <w:rPr>
          <w:sz w:val="26"/>
          <w:lang w:val="en-CA"/>
        </w:rPr>
        <w:t xml:space="preserve">The public </w:t>
      </w:r>
      <w:r w:rsidR="00E12E98">
        <w:rPr>
          <w:sz w:val="26"/>
          <w:lang w:val="en-CA"/>
        </w:rPr>
        <w:t>rightly expect</w:t>
      </w:r>
      <w:r w:rsidR="00E43CE6">
        <w:rPr>
          <w:sz w:val="26"/>
          <w:lang w:val="en-CA"/>
        </w:rPr>
        <w:t>s</w:t>
      </w:r>
      <w:r w:rsidR="00E12E98">
        <w:rPr>
          <w:sz w:val="26"/>
          <w:lang w:val="en-CA"/>
        </w:rPr>
        <w:t xml:space="preserve"> senior government officials</w:t>
      </w:r>
      <w:r w:rsidR="007F4C10">
        <w:rPr>
          <w:sz w:val="26"/>
          <w:lang w:val="en-CA"/>
        </w:rPr>
        <w:t xml:space="preserve"> to act with integrity and</w:t>
      </w:r>
      <w:r w:rsidR="00497D4B">
        <w:rPr>
          <w:sz w:val="26"/>
          <w:lang w:val="en-CA"/>
        </w:rPr>
        <w:t xml:space="preserve"> honour</w:t>
      </w:r>
      <w:r w:rsidR="00AE03D8">
        <w:rPr>
          <w:sz w:val="26"/>
          <w:lang w:val="en-CA"/>
        </w:rPr>
        <w:t>,</w:t>
      </w:r>
      <w:r w:rsidR="00497D4B">
        <w:rPr>
          <w:sz w:val="26"/>
          <w:lang w:val="en-CA"/>
        </w:rPr>
        <w:t xml:space="preserve"> and</w:t>
      </w:r>
      <w:r w:rsidR="007F4C10">
        <w:rPr>
          <w:sz w:val="26"/>
          <w:lang w:val="en-CA"/>
        </w:rPr>
        <w:t xml:space="preserve"> to</w:t>
      </w:r>
      <w:r w:rsidR="00497D4B">
        <w:rPr>
          <w:sz w:val="26"/>
          <w:lang w:val="en-CA"/>
        </w:rPr>
        <w:t xml:space="preserve"> operate within the law. It is important that the sentence here adequately express</w:t>
      </w:r>
      <w:r w:rsidR="0031639F">
        <w:rPr>
          <w:sz w:val="26"/>
          <w:lang w:val="en-CA"/>
        </w:rPr>
        <w:t xml:space="preserve"> denunciation in order to effectively communicate</w:t>
      </w:r>
      <w:r w:rsidR="00497D4B">
        <w:rPr>
          <w:sz w:val="26"/>
          <w:lang w:val="en-CA"/>
        </w:rPr>
        <w:t xml:space="preserve"> society’s </w:t>
      </w:r>
      <w:r w:rsidR="00112BB7">
        <w:rPr>
          <w:sz w:val="26"/>
          <w:lang w:val="en-CA"/>
        </w:rPr>
        <w:t>repudiation</w:t>
      </w:r>
      <w:r w:rsidR="00497D4B">
        <w:rPr>
          <w:sz w:val="26"/>
          <w:lang w:val="en-CA"/>
        </w:rPr>
        <w:t xml:space="preserve"> of conduct that can damage its most valued institutions.</w:t>
      </w:r>
      <w:r w:rsidR="001A31E8" w:rsidRPr="001418B7">
        <w:rPr>
          <w:sz w:val="26"/>
          <w:lang w:val="en-CA"/>
        </w:rPr>
        <w:t xml:space="preserve"> </w:t>
      </w:r>
    </w:p>
    <w:p w:rsidR="0001320A" w:rsidRDefault="00933361" w:rsidP="00393130">
      <w:pPr>
        <w:pStyle w:val="MAINPARAGRAPH"/>
        <w:rPr>
          <w:sz w:val="26"/>
          <w:lang w:val="en-CA"/>
        </w:rPr>
      </w:pPr>
      <w:r>
        <w:rPr>
          <w:sz w:val="26"/>
          <w:lang w:val="en-CA"/>
        </w:rPr>
        <w:t>E</w:t>
      </w:r>
      <w:r w:rsidR="00CD059B" w:rsidRPr="001418B7">
        <w:rPr>
          <w:sz w:val="26"/>
          <w:lang w:val="en-CA"/>
        </w:rPr>
        <w:t xml:space="preserve">ach case </w:t>
      </w:r>
      <w:r w:rsidR="006E279D" w:rsidRPr="001418B7">
        <w:rPr>
          <w:sz w:val="26"/>
          <w:lang w:val="en-CA"/>
        </w:rPr>
        <w:t xml:space="preserve">must </w:t>
      </w:r>
      <w:r w:rsidR="00112BB7">
        <w:rPr>
          <w:sz w:val="26"/>
          <w:lang w:val="en-CA"/>
        </w:rPr>
        <w:t>be considered</w:t>
      </w:r>
      <w:r w:rsidR="000F1571">
        <w:rPr>
          <w:sz w:val="26"/>
          <w:lang w:val="en-CA"/>
        </w:rPr>
        <w:t xml:space="preserve"> individually. In this matter, the aggravating factors, identified earlier in these reasons, are so serious as to </w:t>
      </w:r>
      <w:r w:rsidR="00A80F40">
        <w:rPr>
          <w:sz w:val="26"/>
          <w:lang w:val="en-CA"/>
        </w:rPr>
        <w:t>preclude a conditional sentence.</w:t>
      </w:r>
      <w:r w:rsidR="005A7F71">
        <w:rPr>
          <w:sz w:val="26"/>
          <w:lang w:val="en-CA"/>
        </w:rPr>
        <w:t xml:space="preserve"> It is my view of the evidence </w:t>
      </w:r>
      <w:r w:rsidR="00A80F40">
        <w:rPr>
          <w:sz w:val="26"/>
          <w:lang w:val="en-CA"/>
        </w:rPr>
        <w:t xml:space="preserve">that the objectives of </w:t>
      </w:r>
      <w:r w:rsidR="00A80F40">
        <w:rPr>
          <w:sz w:val="26"/>
          <w:lang w:val="en-CA"/>
        </w:rPr>
        <w:lastRenderedPageBreak/>
        <w:t>denunciation and deterrence are particularly pressing and that incarceration is necessary.</w:t>
      </w:r>
    </w:p>
    <w:p w:rsidR="00D22A14" w:rsidRDefault="0001320A" w:rsidP="00393130">
      <w:pPr>
        <w:pStyle w:val="MAINPARAGRAPH"/>
        <w:rPr>
          <w:sz w:val="26"/>
          <w:lang w:val="en-CA"/>
        </w:rPr>
      </w:pPr>
      <w:r w:rsidRPr="001418B7">
        <w:rPr>
          <w:sz w:val="26"/>
          <w:lang w:val="en-CA"/>
        </w:rPr>
        <w:t xml:space="preserve"> </w:t>
      </w:r>
      <w:r w:rsidR="00A005CF" w:rsidRPr="001418B7">
        <w:rPr>
          <w:sz w:val="26"/>
          <w:lang w:val="en-CA"/>
        </w:rPr>
        <w:t>I take into account</w:t>
      </w:r>
      <w:r>
        <w:rPr>
          <w:sz w:val="26"/>
          <w:lang w:val="en-CA"/>
        </w:rPr>
        <w:t xml:space="preserve">, as well, </w:t>
      </w:r>
      <w:r w:rsidRPr="001418B7">
        <w:rPr>
          <w:sz w:val="26"/>
          <w:lang w:val="en-CA"/>
        </w:rPr>
        <w:t>that</w:t>
      </w:r>
      <w:r w:rsidR="00A005CF" w:rsidRPr="001418B7">
        <w:rPr>
          <w:sz w:val="26"/>
          <w:lang w:val="en-CA"/>
        </w:rPr>
        <w:t xml:space="preserve"> this</w:t>
      </w:r>
      <w:r w:rsidR="00E62E1C" w:rsidRPr="001418B7">
        <w:rPr>
          <w:sz w:val="26"/>
          <w:lang w:val="en-CA"/>
        </w:rPr>
        <w:t xml:space="preserve"> kind of </w:t>
      </w:r>
      <w:r w:rsidR="00A005CF" w:rsidRPr="001418B7">
        <w:rPr>
          <w:sz w:val="26"/>
          <w:lang w:val="en-CA"/>
        </w:rPr>
        <w:t>offence is</w:t>
      </w:r>
      <w:r w:rsidR="008D2089" w:rsidRPr="001418B7">
        <w:rPr>
          <w:sz w:val="26"/>
          <w:lang w:val="en-CA"/>
        </w:rPr>
        <w:t xml:space="preserve"> very difficult to detect.</w:t>
      </w:r>
      <w:r w:rsidR="00AE52E9" w:rsidRPr="001418B7">
        <w:rPr>
          <w:sz w:val="26"/>
          <w:lang w:val="en-CA"/>
        </w:rPr>
        <w:t xml:space="preserve"> </w:t>
      </w:r>
      <w:r w:rsidR="00C500E6">
        <w:rPr>
          <w:sz w:val="26"/>
          <w:lang w:val="en-CA"/>
        </w:rPr>
        <w:t>The</w:t>
      </w:r>
      <w:r w:rsidR="00774F2C">
        <w:rPr>
          <w:sz w:val="26"/>
          <w:lang w:val="en-CA"/>
        </w:rPr>
        <w:t xml:space="preserve"> facts here are illustrative</w:t>
      </w:r>
      <w:r w:rsidR="00BC1AF5" w:rsidRPr="001418B7">
        <w:rPr>
          <w:sz w:val="26"/>
          <w:lang w:val="en-CA"/>
        </w:rPr>
        <w:t>. The</w:t>
      </w:r>
      <w:r w:rsidR="00077D63" w:rsidRPr="001418B7">
        <w:rPr>
          <w:sz w:val="26"/>
          <w:lang w:val="en-CA"/>
        </w:rPr>
        <w:t xml:space="preserve"> Secretary of Cabinet trusted </w:t>
      </w:r>
      <w:r w:rsidR="00AE52E9" w:rsidRPr="001418B7">
        <w:rPr>
          <w:sz w:val="26"/>
          <w:lang w:val="en-CA"/>
        </w:rPr>
        <w:t xml:space="preserve">Mr. Livingston </w:t>
      </w:r>
      <w:r w:rsidR="00077D63" w:rsidRPr="001418B7">
        <w:rPr>
          <w:sz w:val="26"/>
          <w:lang w:val="en-CA"/>
        </w:rPr>
        <w:t>not to abuse the administrative rights he granted.</w:t>
      </w:r>
      <w:r w:rsidR="00774F2C">
        <w:rPr>
          <w:sz w:val="26"/>
          <w:lang w:val="en-CA"/>
        </w:rPr>
        <w:t xml:space="preserve">  It </w:t>
      </w:r>
      <w:r w:rsidR="005A40C2">
        <w:rPr>
          <w:sz w:val="26"/>
          <w:lang w:val="en-CA"/>
        </w:rPr>
        <w:t xml:space="preserve">is of note that the defendant </w:t>
      </w:r>
      <w:r w:rsidR="0013518C">
        <w:rPr>
          <w:sz w:val="26"/>
          <w:lang w:val="en-CA"/>
        </w:rPr>
        <w:t>might have been successful</w:t>
      </w:r>
      <w:r w:rsidR="005A40C2">
        <w:rPr>
          <w:sz w:val="26"/>
          <w:lang w:val="en-CA"/>
        </w:rPr>
        <w:t xml:space="preserve"> in his attempt to destroy retainable records</w:t>
      </w:r>
      <w:r w:rsidR="00BC684A">
        <w:rPr>
          <w:sz w:val="26"/>
          <w:lang w:val="en-CA"/>
        </w:rPr>
        <w:t xml:space="preserve"> were it not for the </w:t>
      </w:r>
      <w:r w:rsidR="005A40C2">
        <w:rPr>
          <w:sz w:val="26"/>
          <w:lang w:val="en-CA"/>
        </w:rPr>
        <w:t>secret decision made by Ms. Jackson and Mr. Bromm of Cabinet Office to “freez</w:t>
      </w:r>
      <w:r w:rsidR="0034032B">
        <w:rPr>
          <w:sz w:val="26"/>
          <w:lang w:val="en-CA"/>
        </w:rPr>
        <w:t>e</w:t>
      </w:r>
      <w:r w:rsidR="005A40C2">
        <w:rPr>
          <w:sz w:val="26"/>
          <w:lang w:val="en-CA"/>
        </w:rPr>
        <w:t>”</w:t>
      </w:r>
      <w:r w:rsidR="0034032B">
        <w:rPr>
          <w:sz w:val="26"/>
          <w:lang w:val="en-CA"/>
        </w:rPr>
        <w:t xml:space="preserve"> the </w:t>
      </w:r>
      <w:r w:rsidR="00580066">
        <w:rPr>
          <w:sz w:val="26"/>
          <w:lang w:val="en-CA"/>
        </w:rPr>
        <w:t>e-mail</w:t>
      </w:r>
      <w:r w:rsidR="0034032B">
        <w:rPr>
          <w:sz w:val="26"/>
          <w:lang w:val="en-CA"/>
        </w:rPr>
        <w:t xml:space="preserve"> accounts of departing O</w:t>
      </w:r>
      <w:r w:rsidR="00CE05CB">
        <w:rPr>
          <w:sz w:val="26"/>
          <w:lang w:val="en-CA"/>
        </w:rPr>
        <w:t>P</w:t>
      </w:r>
      <w:r w:rsidR="0034032B">
        <w:rPr>
          <w:sz w:val="26"/>
          <w:lang w:val="en-CA"/>
        </w:rPr>
        <w:t>O staff so that their contents were available for future searches.</w:t>
      </w:r>
      <w:r w:rsidR="0013518C">
        <w:rPr>
          <w:sz w:val="26"/>
          <w:lang w:val="en-CA"/>
        </w:rPr>
        <w:t xml:space="preserve"> </w:t>
      </w:r>
    </w:p>
    <w:p w:rsidR="00D22A14" w:rsidRPr="005C0B64" w:rsidRDefault="0017000F" w:rsidP="005C0B64">
      <w:pPr>
        <w:pStyle w:val="MAINPARAGRAPH"/>
        <w:rPr>
          <w:sz w:val="26"/>
          <w:lang w:val="en-CA"/>
        </w:rPr>
      </w:pPr>
      <w:r>
        <w:rPr>
          <w:sz w:val="26"/>
          <w:lang w:val="en-CA"/>
        </w:rPr>
        <w:t>The difficulties of detection and investigation</w:t>
      </w:r>
      <w:r w:rsidR="0032511B">
        <w:rPr>
          <w:sz w:val="26"/>
          <w:lang w:val="en-CA"/>
        </w:rPr>
        <w:t xml:space="preserve"> </w:t>
      </w:r>
      <w:r w:rsidR="005C0B64">
        <w:rPr>
          <w:sz w:val="26"/>
          <w:lang w:val="en-CA"/>
        </w:rPr>
        <w:t>constitute an important factor which</w:t>
      </w:r>
      <w:r w:rsidR="003E77D0">
        <w:rPr>
          <w:sz w:val="26"/>
          <w:lang w:val="en-CA"/>
        </w:rPr>
        <w:t>, as in large-scale frauds, weighs</w:t>
      </w:r>
      <w:r w:rsidR="00BC268C">
        <w:rPr>
          <w:sz w:val="26"/>
          <w:lang w:val="en-CA"/>
        </w:rPr>
        <w:t xml:space="preserve"> in favour of incarceration</w:t>
      </w:r>
      <w:r w:rsidR="003E77D0">
        <w:rPr>
          <w:sz w:val="26"/>
          <w:lang w:val="en-CA"/>
        </w:rPr>
        <w:t xml:space="preserve"> as the appr</w:t>
      </w:r>
      <w:r w:rsidR="00E75112">
        <w:rPr>
          <w:sz w:val="26"/>
          <w:lang w:val="en-CA"/>
        </w:rPr>
        <w:t>opriate sanction required to vindicate the objective of general deterrence</w:t>
      </w:r>
      <w:r w:rsidR="00BC268C">
        <w:rPr>
          <w:sz w:val="26"/>
          <w:lang w:val="en-CA"/>
        </w:rPr>
        <w:t>.</w:t>
      </w:r>
    </w:p>
    <w:p w:rsidR="00C500E6" w:rsidRDefault="00077D63" w:rsidP="00C500E6">
      <w:pPr>
        <w:pStyle w:val="MAINPARAGRAPH"/>
        <w:rPr>
          <w:sz w:val="26"/>
          <w:lang w:val="en-CA"/>
        </w:rPr>
      </w:pPr>
      <w:r w:rsidRPr="005C0B64">
        <w:rPr>
          <w:sz w:val="26"/>
          <w:lang w:val="en-CA"/>
        </w:rPr>
        <w:t xml:space="preserve">  </w:t>
      </w:r>
      <w:r w:rsidR="0032511B">
        <w:rPr>
          <w:sz w:val="26"/>
          <w:lang w:val="en-CA"/>
        </w:rPr>
        <w:t xml:space="preserve">A </w:t>
      </w:r>
      <w:r w:rsidR="006F21B4">
        <w:rPr>
          <w:sz w:val="26"/>
          <w:lang w:val="en-CA"/>
        </w:rPr>
        <w:t>thi</w:t>
      </w:r>
      <w:r w:rsidR="00913EBD">
        <w:rPr>
          <w:sz w:val="26"/>
          <w:lang w:val="en-CA"/>
        </w:rPr>
        <w:t xml:space="preserve">rd sentencing objective </w:t>
      </w:r>
      <w:r w:rsidR="006F21B4">
        <w:rPr>
          <w:sz w:val="26"/>
          <w:lang w:val="en-CA"/>
        </w:rPr>
        <w:t>in this case</w:t>
      </w:r>
      <w:r w:rsidR="00913EBD">
        <w:rPr>
          <w:sz w:val="26"/>
          <w:lang w:val="en-CA"/>
        </w:rPr>
        <w:t xml:space="preserve"> is that t</w:t>
      </w:r>
      <w:r w:rsidR="00EE3AEE">
        <w:rPr>
          <w:sz w:val="26"/>
          <w:lang w:val="en-CA"/>
        </w:rPr>
        <w:t>he defendant provide reparation</w:t>
      </w:r>
      <w:r w:rsidR="000D4B35" w:rsidRPr="005C0B64">
        <w:rPr>
          <w:sz w:val="26"/>
          <w:lang w:val="en-CA"/>
        </w:rPr>
        <w:t xml:space="preserve"> for harm done to the community</w:t>
      </w:r>
      <w:r w:rsidR="006D789C" w:rsidRPr="005C0B64">
        <w:rPr>
          <w:sz w:val="26"/>
          <w:lang w:val="en-CA"/>
        </w:rPr>
        <w:t>.</w:t>
      </w:r>
      <w:r w:rsidR="00651316">
        <w:rPr>
          <w:sz w:val="26"/>
          <w:lang w:val="en-CA"/>
        </w:rPr>
        <w:t xml:space="preserve"> While this</w:t>
      </w:r>
      <w:r w:rsidR="00034A87" w:rsidRPr="005C0B64">
        <w:rPr>
          <w:sz w:val="26"/>
          <w:lang w:val="en-CA"/>
        </w:rPr>
        <w:t xml:space="preserve"> object</w:t>
      </w:r>
      <w:r w:rsidR="00EE3AEE">
        <w:rPr>
          <w:sz w:val="26"/>
          <w:lang w:val="en-CA"/>
        </w:rPr>
        <w:t>ive is less prominent,</w:t>
      </w:r>
      <w:r w:rsidR="00EF28B2" w:rsidRPr="005C0B64">
        <w:rPr>
          <w:sz w:val="26"/>
          <w:lang w:val="en-CA"/>
        </w:rPr>
        <w:t xml:space="preserve"> i</w:t>
      </w:r>
      <w:r w:rsidR="00E413D0" w:rsidRPr="005C0B64">
        <w:rPr>
          <w:sz w:val="26"/>
          <w:lang w:val="en-CA"/>
        </w:rPr>
        <w:t>t is</w:t>
      </w:r>
      <w:r w:rsidR="00651316">
        <w:rPr>
          <w:sz w:val="26"/>
          <w:lang w:val="en-CA"/>
        </w:rPr>
        <w:t>, in my view,</w:t>
      </w:r>
      <w:r w:rsidR="00E413D0" w:rsidRPr="005C0B64">
        <w:rPr>
          <w:sz w:val="26"/>
          <w:lang w:val="en-CA"/>
        </w:rPr>
        <w:t xml:space="preserve"> stil</w:t>
      </w:r>
      <w:r w:rsidR="00B1680E">
        <w:rPr>
          <w:sz w:val="26"/>
          <w:lang w:val="en-CA"/>
        </w:rPr>
        <w:t>l significant.</w:t>
      </w:r>
      <w:r w:rsidR="00126CAB">
        <w:rPr>
          <w:sz w:val="26"/>
          <w:lang w:val="en-CA"/>
        </w:rPr>
        <w:t xml:space="preserve"> </w:t>
      </w:r>
      <w:r w:rsidR="00264323">
        <w:rPr>
          <w:sz w:val="26"/>
          <w:lang w:val="en-CA"/>
        </w:rPr>
        <w:t xml:space="preserve">Mr. Livingston’s </w:t>
      </w:r>
      <w:r w:rsidR="00091413">
        <w:rPr>
          <w:sz w:val="26"/>
          <w:lang w:val="en-CA"/>
        </w:rPr>
        <w:t>sentence should include a probation order</w:t>
      </w:r>
      <w:r w:rsidR="00BC539F" w:rsidRPr="005C0B64">
        <w:rPr>
          <w:sz w:val="26"/>
          <w:lang w:val="en-CA"/>
        </w:rPr>
        <w:t xml:space="preserve"> with community servi</w:t>
      </w:r>
      <w:r w:rsidR="00126CAB">
        <w:rPr>
          <w:sz w:val="26"/>
          <w:lang w:val="en-CA"/>
        </w:rPr>
        <w:t>ce as its main</w:t>
      </w:r>
      <w:r w:rsidR="00091413">
        <w:rPr>
          <w:sz w:val="26"/>
          <w:lang w:val="en-CA"/>
        </w:rPr>
        <w:t xml:space="preserve"> component</w:t>
      </w:r>
      <w:r w:rsidR="00264323">
        <w:rPr>
          <w:sz w:val="26"/>
          <w:lang w:val="en-CA"/>
        </w:rPr>
        <w:t>.</w:t>
      </w:r>
    </w:p>
    <w:p w:rsidR="00B77C94" w:rsidRPr="00C500E6" w:rsidRDefault="00EC4373" w:rsidP="00C500E6">
      <w:pPr>
        <w:pStyle w:val="MAINPARAGRAPH"/>
        <w:rPr>
          <w:sz w:val="26"/>
          <w:lang w:val="en-CA"/>
        </w:rPr>
      </w:pPr>
      <w:r w:rsidRPr="00C500E6">
        <w:rPr>
          <w:sz w:val="26"/>
          <w:lang w:val="en-CA"/>
        </w:rPr>
        <w:t>In</w:t>
      </w:r>
      <w:r w:rsidR="003D6AC8" w:rsidRPr="00C500E6">
        <w:rPr>
          <w:sz w:val="26"/>
          <w:lang w:val="en-CA"/>
        </w:rPr>
        <w:t xml:space="preserve"> my view, it is not necessary to sentence Mr. Livingston to a period of incarceration in the range of six to twelve months. The Crown’s suggested range does not adequately reflect the mitigating factors of Mr. Livingston’s past </w:t>
      </w:r>
      <w:r w:rsidR="00D215C1" w:rsidRPr="00C500E6">
        <w:rPr>
          <w:sz w:val="26"/>
          <w:lang w:val="en-CA"/>
        </w:rPr>
        <w:t>contributions</w:t>
      </w:r>
      <w:r w:rsidR="003D6AC8" w:rsidRPr="00C500E6">
        <w:rPr>
          <w:sz w:val="26"/>
          <w:lang w:val="en-CA"/>
        </w:rPr>
        <w:t xml:space="preserve"> to the communi</w:t>
      </w:r>
      <w:r w:rsidR="008B7D56">
        <w:rPr>
          <w:sz w:val="26"/>
          <w:lang w:val="en-CA"/>
        </w:rPr>
        <w:t xml:space="preserve">ty, </w:t>
      </w:r>
      <w:r w:rsidR="003D6AC8" w:rsidRPr="00C500E6">
        <w:rPr>
          <w:sz w:val="26"/>
          <w:lang w:val="en-CA"/>
        </w:rPr>
        <w:t xml:space="preserve">or the stigma he </w:t>
      </w:r>
      <w:r w:rsidR="00D215C1" w:rsidRPr="00C500E6">
        <w:rPr>
          <w:sz w:val="26"/>
          <w:lang w:val="en-CA"/>
        </w:rPr>
        <w:t>carries</w:t>
      </w:r>
      <w:r w:rsidR="003D6AC8" w:rsidRPr="00C500E6">
        <w:rPr>
          <w:sz w:val="26"/>
          <w:lang w:val="en-CA"/>
        </w:rPr>
        <w:t xml:space="preserve">. </w:t>
      </w:r>
      <w:r w:rsidR="00543826" w:rsidRPr="00C500E6">
        <w:rPr>
          <w:sz w:val="26"/>
          <w:lang w:val="en-CA"/>
        </w:rPr>
        <w:t>While imprisonment is required, the c</w:t>
      </w:r>
      <w:r w:rsidR="00A4575B">
        <w:rPr>
          <w:sz w:val="26"/>
          <w:lang w:val="en-CA"/>
        </w:rPr>
        <w:t>ourt is obliged to exercise restraint</w:t>
      </w:r>
      <w:r w:rsidR="00543826" w:rsidRPr="00C500E6">
        <w:rPr>
          <w:sz w:val="26"/>
          <w:lang w:val="en-CA"/>
        </w:rPr>
        <w:t xml:space="preserve"> in the length of sentence it imposes in a manner that reflects the gravity of the offence, that addresses appropriate </w:t>
      </w:r>
      <w:r w:rsidR="00D215C1" w:rsidRPr="00C500E6">
        <w:rPr>
          <w:sz w:val="26"/>
          <w:lang w:val="en-CA"/>
        </w:rPr>
        <w:t>sentencing objectives and that takes into account the defendant’s unique personal circumstances.</w:t>
      </w:r>
      <w:r w:rsidR="00C8480E" w:rsidRPr="00C500E6">
        <w:rPr>
          <w:sz w:val="26"/>
          <w:lang w:val="en-CA"/>
        </w:rPr>
        <w:t xml:space="preserve"> </w:t>
      </w:r>
    </w:p>
    <w:p w:rsidR="00325118" w:rsidRPr="00D215C1" w:rsidRDefault="00325118" w:rsidP="00171602">
      <w:pPr>
        <w:pStyle w:val="MAINPARAGRAPH"/>
        <w:numPr>
          <w:ilvl w:val="0"/>
          <w:numId w:val="0"/>
        </w:numPr>
        <w:rPr>
          <w:sz w:val="26"/>
          <w:lang w:val="en-CA"/>
        </w:rPr>
      </w:pPr>
      <w:r w:rsidRPr="00D215C1">
        <w:rPr>
          <w:b/>
          <w:sz w:val="26"/>
          <w:lang w:val="en-CA"/>
        </w:rPr>
        <w:t>Sentence</w:t>
      </w:r>
    </w:p>
    <w:p w:rsidR="00953CC5" w:rsidRPr="001418B7" w:rsidRDefault="00B77C94" w:rsidP="00953CC5">
      <w:pPr>
        <w:pStyle w:val="MAINPARAGRAPH"/>
        <w:rPr>
          <w:sz w:val="26"/>
          <w:lang w:val="en-CA"/>
        </w:rPr>
      </w:pPr>
      <w:r>
        <w:rPr>
          <w:sz w:val="26"/>
          <w:lang w:val="en-CA"/>
        </w:rPr>
        <w:t>Mr. Livingston will be sentenced to</w:t>
      </w:r>
      <w:r w:rsidR="008B7D56">
        <w:rPr>
          <w:sz w:val="26"/>
          <w:lang w:val="en-CA"/>
        </w:rPr>
        <w:t xml:space="preserve"> imprisonment for</w:t>
      </w:r>
      <w:r>
        <w:rPr>
          <w:sz w:val="26"/>
          <w:lang w:val="en-CA"/>
        </w:rPr>
        <w:t xml:space="preserve"> four months. This will </w:t>
      </w:r>
      <w:r w:rsidR="00D65D80" w:rsidRPr="001418B7">
        <w:rPr>
          <w:sz w:val="26"/>
          <w:lang w:val="en-CA"/>
        </w:rPr>
        <w:t xml:space="preserve">be followed by </w:t>
      </w:r>
      <w:r w:rsidR="00953CC5" w:rsidRPr="001418B7">
        <w:rPr>
          <w:sz w:val="26"/>
          <w:lang w:val="en-CA"/>
        </w:rPr>
        <w:t xml:space="preserve">a period of probation of twelve </w:t>
      </w:r>
      <w:r w:rsidR="00AF5A0F" w:rsidRPr="001418B7">
        <w:rPr>
          <w:sz w:val="26"/>
          <w:lang w:val="en-CA"/>
        </w:rPr>
        <w:t>months</w:t>
      </w:r>
      <w:r w:rsidR="00953CC5" w:rsidRPr="001418B7">
        <w:rPr>
          <w:sz w:val="26"/>
          <w:lang w:val="en-CA"/>
        </w:rPr>
        <w:t>. The terms of probation are these:</w:t>
      </w:r>
    </w:p>
    <w:p w:rsidR="00D25FC5" w:rsidRPr="001418B7" w:rsidRDefault="000F34BD" w:rsidP="00D25FC5">
      <w:pPr>
        <w:pStyle w:val="MAINPARAGRAPH"/>
        <w:numPr>
          <w:ilvl w:val="0"/>
          <w:numId w:val="0"/>
        </w:numPr>
        <w:rPr>
          <w:sz w:val="26"/>
          <w:lang w:val="en-CA"/>
        </w:rPr>
      </w:pPr>
      <w:r w:rsidRPr="001418B7">
        <w:rPr>
          <w:sz w:val="26"/>
          <w:lang w:val="en-CA"/>
        </w:rPr>
        <w:t xml:space="preserve">1. Keep the peace and be of good behaviour. </w:t>
      </w:r>
    </w:p>
    <w:p w:rsidR="00BA4DB0" w:rsidRDefault="000F34BD" w:rsidP="00D25FC5">
      <w:pPr>
        <w:pStyle w:val="MAINPARAGRAPH"/>
        <w:numPr>
          <w:ilvl w:val="0"/>
          <w:numId w:val="0"/>
        </w:numPr>
        <w:rPr>
          <w:sz w:val="26"/>
          <w:lang w:val="en-CA"/>
        </w:rPr>
      </w:pPr>
      <w:r w:rsidRPr="001418B7">
        <w:rPr>
          <w:sz w:val="26"/>
          <w:lang w:val="en-CA"/>
        </w:rPr>
        <w:t xml:space="preserve">2. Appear before the court when required to do so. </w:t>
      </w:r>
    </w:p>
    <w:p w:rsidR="00D25FC5" w:rsidRPr="001418B7" w:rsidRDefault="00BA4DB0" w:rsidP="00D25FC5">
      <w:pPr>
        <w:pStyle w:val="MAINPARAGRAPH"/>
        <w:numPr>
          <w:ilvl w:val="0"/>
          <w:numId w:val="0"/>
        </w:numPr>
        <w:rPr>
          <w:sz w:val="26"/>
          <w:lang w:val="en-CA"/>
        </w:rPr>
      </w:pPr>
      <w:r>
        <w:rPr>
          <w:sz w:val="26"/>
          <w:lang w:val="en-CA"/>
        </w:rPr>
        <w:t xml:space="preserve">3. </w:t>
      </w:r>
      <w:r w:rsidR="000F34BD" w:rsidRPr="001418B7">
        <w:rPr>
          <w:sz w:val="26"/>
          <w:lang w:val="en-CA"/>
        </w:rPr>
        <w:t>Notify the court or the probation officer in advance of any change of name or address</w:t>
      </w:r>
      <w:r w:rsidR="009A53D8" w:rsidRPr="001418B7">
        <w:rPr>
          <w:sz w:val="26"/>
          <w:lang w:val="en-CA"/>
        </w:rPr>
        <w:t xml:space="preserve">. </w:t>
      </w:r>
    </w:p>
    <w:p w:rsidR="00D25FC5" w:rsidRPr="001418B7" w:rsidRDefault="00BA4DB0" w:rsidP="00D25FC5">
      <w:pPr>
        <w:pStyle w:val="MAINPARAGRAPH"/>
        <w:numPr>
          <w:ilvl w:val="0"/>
          <w:numId w:val="0"/>
        </w:numPr>
        <w:rPr>
          <w:sz w:val="26"/>
          <w:lang w:val="en-CA"/>
        </w:rPr>
      </w:pPr>
      <w:r>
        <w:rPr>
          <w:sz w:val="26"/>
          <w:lang w:val="en-CA"/>
        </w:rPr>
        <w:t>4</w:t>
      </w:r>
      <w:r w:rsidR="00487C4E">
        <w:rPr>
          <w:sz w:val="26"/>
          <w:lang w:val="en-CA"/>
        </w:rPr>
        <w:t>. N</w:t>
      </w:r>
      <w:r w:rsidR="009A53D8" w:rsidRPr="001418B7">
        <w:rPr>
          <w:sz w:val="26"/>
          <w:lang w:val="en-CA"/>
        </w:rPr>
        <w:t xml:space="preserve">otify the court or the probation officer of any change of employment or occupation </w:t>
      </w:r>
    </w:p>
    <w:p w:rsidR="00D25FC5" w:rsidRPr="001418B7" w:rsidRDefault="00BA4DB0" w:rsidP="00D25FC5">
      <w:pPr>
        <w:pStyle w:val="MAINPARAGRAPH"/>
        <w:numPr>
          <w:ilvl w:val="0"/>
          <w:numId w:val="0"/>
        </w:numPr>
        <w:rPr>
          <w:sz w:val="26"/>
          <w:lang w:val="en-CA"/>
        </w:rPr>
      </w:pPr>
      <w:r>
        <w:rPr>
          <w:sz w:val="26"/>
          <w:lang w:val="en-CA"/>
        </w:rPr>
        <w:lastRenderedPageBreak/>
        <w:t>5</w:t>
      </w:r>
      <w:r w:rsidR="009A53D8" w:rsidRPr="001418B7">
        <w:rPr>
          <w:sz w:val="26"/>
          <w:lang w:val="en-CA"/>
        </w:rPr>
        <w:t>. Report within 72 hours of your release from custody</w:t>
      </w:r>
      <w:r w:rsidR="00663851" w:rsidRPr="001418B7">
        <w:rPr>
          <w:sz w:val="26"/>
          <w:lang w:val="en-CA"/>
        </w:rPr>
        <w:t xml:space="preserve"> in person to a probation officer as directed and thereafter as required by your probation officer. </w:t>
      </w:r>
    </w:p>
    <w:p w:rsidR="000F34BD" w:rsidRPr="001418B7" w:rsidRDefault="00BA4DB0" w:rsidP="00D25FC5">
      <w:pPr>
        <w:pStyle w:val="MAINPARAGRAPH"/>
        <w:numPr>
          <w:ilvl w:val="0"/>
          <w:numId w:val="0"/>
        </w:numPr>
        <w:rPr>
          <w:sz w:val="26"/>
          <w:lang w:val="en-CA"/>
        </w:rPr>
      </w:pPr>
      <w:r>
        <w:rPr>
          <w:sz w:val="26"/>
          <w:lang w:val="en-CA"/>
        </w:rPr>
        <w:t>6</w:t>
      </w:r>
      <w:r w:rsidR="00663851" w:rsidRPr="001418B7">
        <w:rPr>
          <w:sz w:val="26"/>
          <w:lang w:val="en-CA"/>
        </w:rPr>
        <w:t>. Perfor</w:t>
      </w:r>
      <w:r w:rsidR="00E33BD3" w:rsidRPr="001418B7">
        <w:rPr>
          <w:sz w:val="26"/>
          <w:lang w:val="en-CA"/>
        </w:rPr>
        <w:t xml:space="preserve">m 100 hours of community service to be completed within the first eleven months of this probation order </w:t>
      </w:r>
      <w:r w:rsidR="00D25FC5" w:rsidRPr="001418B7">
        <w:rPr>
          <w:sz w:val="26"/>
          <w:lang w:val="en-CA"/>
        </w:rPr>
        <w:t>and provide written proof to your probation officer.</w:t>
      </w:r>
    </w:p>
    <w:p w:rsidR="004C0368" w:rsidRDefault="004C0368" w:rsidP="004C0368">
      <w:pPr>
        <w:pStyle w:val="MAINPARAGRAPH"/>
        <w:numPr>
          <w:ilvl w:val="0"/>
          <w:numId w:val="0"/>
        </w:numPr>
        <w:rPr>
          <w:b/>
          <w:sz w:val="26"/>
          <w:lang w:val="en-CA"/>
        </w:rPr>
      </w:pPr>
    </w:p>
    <w:p w:rsidR="007C6517" w:rsidRPr="004C0368" w:rsidRDefault="007C6517" w:rsidP="004C0368">
      <w:pPr>
        <w:pStyle w:val="MAINPARAGRAPH"/>
        <w:numPr>
          <w:ilvl w:val="0"/>
          <w:numId w:val="0"/>
        </w:numPr>
        <w:rPr>
          <w:sz w:val="26"/>
          <w:lang w:val="en-CA"/>
        </w:rPr>
      </w:pPr>
      <w:r w:rsidRPr="004C0368">
        <w:rPr>
          <w:b/>
          <w:sz w:val="26"/>
          <w:lang w:val="en-CA"/>
        </w:rPr>
        <w:t xml:space="preserve">Released: </w:t>
      </w:r>
      <w:r w:rsidR="004B6C73" w:rsidRPr="004C0368">
        <w:rPr>
          <w:b/>
          <w:sz w:val="26"/>
          <w:lang w:val="en-CA"/>
        </w:rPr>
        <w:t xml:space="preserve"> </w:t>
      </w:r>
      <w:r w:rsidR="004C0368">
        <w:rPr>
          <w:b/>
          <w:sz w:val="26"/>
          <w:lang w:val="en-CA"/>
        </w:rPr>
        <w:t>April 11, 2018</w:t>
      </w:r>
    </w:p>
    <w:p w:rsidR="00A30C4D" w:rsidRPr="001418B7" w:rsidRDefault="00A30C4D" w:rsidP="007C1CE9">
      <w:pPr>
        <w:rPr>
          <w:b/>
          <w:sz w:val="26"/>
          <w:lang w:val="en-CA"/>
        </w:rPr>
      </w:pPr>
    </w:p>
    <w:p w:rsidR="00A30C4D" w:rsidRPr="001418B7" w:rsidRDefault="00A30C4D" w:rsidP="007C1CE9">
      <w:pPr>
        <w:rPr>
          <w:b/>
          <w:sz w:val="26"/>
          <w:lang w:val="en-CA"/>
        </w:rPr>
      </w:pPr>
    </w:p>
    <w:p w:rsidR="008217F6" w:rsidRPr="001418B7" w:rsidRDefault="004C0368" w:rsidP="004C0368">
      <w:pPr>
        <w:tabs>
          <w:tab w:val="left" w:pos="4139"/>
        </w:tabs>
        <w:rPr>
          <w:b/>
          <w:sz w:val="26"/>
          <w:lang w:val="en-CA"/>
        </w:rPr>
      </w:pPr>
      <w:r>
        <w:rPr>
          <w:b/>
          <w:sz w:val="26"/>
          <w:lang w:val="en-CA"/>
        </w:rPr>
        <w:tab/>
      </w:r>
      <w:r w:rsidR="00AF40CD">
        <w:rPr>
          <w:b/>
          <w:sz w:val="26"/>
          <w:lang w:val="en-CA"/>
        </w:rPr>
        <w:t xml:space="preserve">             </w:t>
      </w:r>
      <w:r>
        <w:rPr>
          <w:b/>
          <w:sz w:val="26"/>
          <w:lang w:val="en-CA"/>
        </w:rPr>
        <w:t>Justice Timothy R. Lipson</w:t>
      </w:r>
    </w:p>
    <w:p w:rsidR="008217F6" w:rsidRPr="001418B7" w:rsidRDefault="008217F6" w:rsidP="008217F6">
      <w:pPr>
        <w:pBdr>
          <w:top w:val="single" w:sz="12" w:space="1" w:color="auto"/>
        </w:pBdr>
        <w:ind w:left="4140"/>
        <w:jc w:val="right"/>
        <w:rPr>
          <w:b/>
          <w:sz w:val="26"/>
          <w:lang w:val="en-CA"/>
        </w:rPr>
      </w:pPr>
    </w:p>
    <w:p w:rsidR="007C6517" w:rsidRPr="001418B7" w:rsidRDefault="007C6517" w:rsidP="007C1CE9">
      <w:pPr>
        <w:jc w:val="right"/>
        <w:rPr>
          <w:sz w:val="26"/>
          <w:lang w:val="en-CA"/>
        </w:rPr>
      </w:pPr>
    </w:p>
    <w:p w:rsidR="006F27F3" w:rsidRPr="001418B7" w:rsidRDefault="006F27F3" w:rsidP="00805237">
      <w:pPr>
        <w:rPr>
          <w:sz w:val="26"/>
          <w:lang w:val="en-CA"/>
        </w:rPr>
      </w:pPr>
    </w:p>
    <w:sectPr w:rsidR="006F27F3" w:rsidRPr="001418B7" w:rsidSect="006503FF">
      <w:head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D5" w:rsidRDefault="00A122D5" w:rsidP="006503FF">
      <w:r>
        <w:separator/>
      </w:r>
    </w:p>
  </w:endnote>
  <w:endnote w:type="continuationSeparator" w:id="0">
    <w:p w:rsidR="00A122D5" w:rsidRDefault="00A122D5" w:rsidP="0065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D5" w:rsidRDefault="00A122D5" w:rsidP="006503FF">
      <w:r>
        <w:separator/>
      </w:r>
    </w:p>
  </w:footnote>
  <w:footnote w:type="continuationSeparator" w:id="0">
    <w:p w:rsidR="00A122D5" w:rsidRDefault="00A122D5" w:rsidP="006503FF">
      <w:r>
        <w:continuationSeparator/>
      </w:r>
    </w:p>
  </w:footnote>
  <w:footnote w:id="1">
    <w:p w:rsidR="0067505C" w:rsidRPr="00E75A4F" w:rsidRDefault="0067505C" w:rsidP="009A7718">
      <w:pPr>
        <w:ind w:right="225"/>
        <w:rPr>
          <w:rFonts w:ascii="Verdana" w:eastAsia="Times New Roman" w:hAnsi="Verdana" w:cs="Times New Roman"/>
          <w:color w:val="000000"/>
          <w:sz w:val="20"/>
          <w:szCs w:val="20"/>
          <w:lang w:val="en-CA" w:eastAsia="en-CA"/>
        </w:rPr>
      </w:pPr>
      <w:r>
        <w:rPr>
          <w:rStyle w:val="FootnoteReference"/>
        </w:rPr>
        <w:footnoteRef/>
      </w:r>
      <w:r w:rsidRPr="000809E5">
        <w:rPr>
          <w:sz w:val="16"/>
          <w:szCs w:val="16"/>
        </w:rPr>
        <w:t xml:space="preserve">Reasons for judgment, </w:t>
      </w:r>
      <w:r w:rsidRPr="000809E5">
        <w:rPr>
          <w:i/>
          <w:sz w:val="16"/>
          <w:szCs w:val="16"/>
        </w:rPr>
        <w:t>R. v. Livingston and Miller</w:t>
      </w:r>
      <w:r w:rsidRPr="000809E5">
        <w:rPr>
          <w:sz w:val="16"/>
          <w:szCs w:val="16"/>
        </w:rPr>
        <w:t xml:space="preserve"> </w:t>
      </w:r>
      <w:r w:rsidRPr="000809E5">
        <w:rPr>
          <w:rFonts w:ascii="Verdana" w:eastAsia="Times New Roman" w:hAnsi="Verdana" w:cs="Times New Roman"/>
          <w:color w:val="000000"/>
          <w:sz w:val="16"/>
          <w:szCs w:val="16"/>
          <w:lang w:val="en-CA" w:eastAsia="en-CA"/>
        </w:rPr>
        <w:t>[2018] O.J. No. 254</w:t>
      </w:r>
      <w:proofErr w:type="gramStart"/>
      <w:r w:rsidRPr="000809E5">
        <w:rPr>
          <w:rFonts w:ascii="Verdana" w:eastAsia="Times New Roman" w:hAnsi="Verdana" w:cs="Times New Roman"/>
          <w:color w:val="000000"/>
          <w:sz w:val="16"/>
          <w:szCs w:val="16"/>
          <w:lang w:val="en-CA" w:eastAsia="en-CA"/>
        </w:rPr>
        <w:t>;2018</w:t>
      </w:r>
      <w:proofErr w:type="gramEnd"/>
      <w:r w:rsidRPr="000809E5">
        <w:rPr>
          <w:rFonts w:ascii="Verdana" w:eastAsia="Times New Roman" w:hAnsi="Verdana" w:cs="Times New Roman"/>
          <w:color w:val="000000"/>
          <w:sz w:val="16"/>
          <w:szCs w:val="16"/>
          <w:lang w:val="en-CA" w:eastAsia="en-CA"/>
        </w:rPr>
        <w:t xml:space="preserve"> ONCJ 25</w:t>
      </w:r>
      <w:r w:rsidR="00F3430E" w:rsidRPr="000809E5">
        <w:rPr>
          <w:rFonts w:ascii="Verdana" w:eastAsia="Times New Roman" w:hAnsi="Verdana" w:cs="Times New Roman"/>
          <w:color w:val="000000"/>
          <w:sz w:val="16"/>
          <w:szCs w:val="16"/>
          <w:lang w:val="en-CA" w:eastAsia="en-CA"/>
        </w:rPr>
        <w:t>.</w:t>
      </w:r>
    </w:p>
  </w:footnote>
  <w:footnote w:id="2">
    <w:p w:rsidR="0067505C" w:rsidRPr="000809E5" w:rsidRDefault="0067505C" w:rsidP="00BF3433">
      <w:pPr>
        <w:pStyle w:val="MAINPARAGRAPH"/>
        <w:numPr>
          <w:ilvl w:val="0"/>
          <w:numId w:val="0"/>
        </w:numPr>
        <w:rPr>
          <w:b/>
          <w:sz w:val="16"/>
          <w:szCs w:val="16"/>
          <w:lang w:val="en-CA"/>
        </w:rPr>
      </w:pPr>
      <w:r>
        <w:rPr>
          <w:rStyle w:val="FootnoteReference"/>
        </w:rPr>
        <w:footnoteRef/>
      </w:r>
      <w:r>
        <w:t xml:space="preserve"> </w:t>
      </w:r>
      <w:hyperlink r:id="rId1" w:history="1">
        <w:r w:rsidR="00AB06CE" w:rsidRPr="000809E5">
          <w:rPr>
            <w:rStyle w:val="reflex3-block"/>
            <w:rFonts w:ascii="Verdana" w:hAnsi="Verdana"/>
            <w:color w:val="027ABB"/>
            <w:sz w:val="16"/>
            <w:szCs w:val="16"/>
            <w:lang w:val="en"/>
          </w:rPr>
          <w:t xml:space="preserve">2004 </w:t>
        </w:r>
        <w:proofErr w:type="spellStart"/>
        <w:r w:rsidR="00AB06CE" w:rsidRPr="000809E5">
          <w:rPr>
            <w:rStyle w:val="reflex3-block"/>
            <w:rFonts w:ascii="Verdana" w:hAnsi="Verdana"/>
            <w:color w:val="027ABB"/>
            <w:sz w:val="16"/>
            <w:szCs w:val="16"/>
            <w:lang w:val="en"/>
          </w:rPr>
          <w:t>CanLII</w:t>
        </w:r>
        <w:proofErr w:type="spellEnd"/>
        <w:r w:rsidR="00AB06CE" w:rsidRPr="000809E5">
          <w:rPr>
            <w:rStyle w:val="reflex3-block"/>
            <w:rFonts w:ascii="Verdana" w:hAnsi="Verdana"/>
            <w:color w:val="027ABB"/>
            <w:sz w:val="16"/>
            <w:szCs w:val="16"/>
            <w:lang w:val="en"/>
          </w:rPr>
          <w:t xml:space="preserve"> 5549 (ON</w:t>
        </w:r>
        <w:r w:rsidRPr="000809E5">
          <w:rPr>
            <w:rStyle w:val="reflex3-block"/>
            <w:rFonts w:ascii="Verdana" w:hAnsi="Verdana"/>
            <w:color w:val="027ABB"/>
            <w:sz w:val="16"/>
            <w:szCs w:val="16"/>
            <w:lang w:val="en"/>
          </w:rPr>
          <w:t>CA)</w:t>
        </w:r>
      </w:hyperlink>
      <w:r w:rsidRPr="000809E5">
        <w:rPr>
          <w:rStyle w:val="reflex3-block"/>
          <w:sz w:val="16"/>
          <w:szCs w:val="16"/>
          <w:lang w:val="en"/>
        </w:rPr>
        <w:t xml:space="preserve">, </w:t>
      </w:r>
      <w:r w:rsidRPr="000809E5">
        <w:rPr>
          <w:rStyle w:val="reflex3-alt"/>
          <w:sz w:val="16"/>
          <w:szCs w:val="16"/>
          <w:lang w:val="en"/>
        </w:rPr>
        <w:t>[2004] O.J. No.3252 (C.A.)</w:t>
      </w:r>
      <w:r w:rsidRPr="000809E5">
        <w:rPr>
          <w:rStyle w:val="reflex3-block"/>
          <w:sz w:val="16"/>
          <w:szCs w:val="16"/>
          <w:lang w:val="en"/>
        </w:rPr>
        <w:t xml:space="preserve"> at para. 87</w:t>
      </w:r>
    </w:p>
    <w:p w:rsidR="0067505C" w:rsidRDefault="0067505C" w:rsidP="00BF3433">
      <w:pPr>
        <w:pStyle w:val="FootnoteText"/>
      </w:pPr>
    </w:p>
  </w:footnote>
  <w:footnote w:id="3">
    <w:p w:rsidR="0067505C" w:rsidRPr="000809E5" w:rsidRDefault="0067505C" w:rsidP="00BF3433">
      <w:pPr>
        <w:pStyle w:val="MAINPARAGRAPH"/>
        <w:numPr>
          <w:ilvl w:val="0"/>
          <w:numId w:val="0"/>
        </w:numPr>
        <w:rPr>
          <w:b/>
          <w:sz w:val="16"/>
          <w:szCs w:val="16"/>
          <w:lang w:val="en-CA"/>
        </w:rPr>
      </w:pPr>
      <w:r>
        <w:rPr>
          <w:rStyle w:val="FootnoteReference"/>
        </w:rPr>
        <w:footnoteRef/>
      </w:r>
      <w:r>
        <w:t xml:space="preserve"> </w:t>
      </w:r>
      <w:r w:rsidRPr="000809E5">
        <w:rPr>
          <w:i/>
          <w:iCs/>
          <w:sz w:val="16"/>
          <w:szCs w:val="16"/>
        </w:rPr>
        <w:t>R. v. Wright</w:t>
      </w:r>
      <w:r w:rsidRPr="000809E5">
        <w:rPr>
          <w:sz w:val="16"/>
          <w:szCs w:val="16"/>
        </w:rPr>
        <w:t xml:space="preserve"> </w:t>
      </w:r>
      <w:hyperlink r:id="rId2" w:history="1">
        <w:r w:rsidRPr="000809E5">
          <w:rPr>
            <w:rStyle w:val="reflex3-block"/>
            <w:rFonts w:ascii="Verdana" w:hAnsi="Verdana"/>
            <w:color w:val="027ABB"/>
            <w:sz w:val="16"/>
            <w:szCs w:val="16"/>
            <w:lang w:val="en"/>
          </w:rPr>
          <w:t>2006 CanLII 40975 (ON CA)</w:t>
        </w:r>
      </w:hyperlink>
      <w:r w:rsidRPr="000809E5">
        <w:rPr>
          <w:rStyle w:val="reflex3-block"/>
          <w:sz w:val="16"/>
          <w:szCs w:val="16"/>
          <w:lang w:val="en"/>
        </w:rPr>
        <w:t xml:space="preserve">, </w:t>
      </w:r>
      <w:r w:rsidRPr="000809E5">
        <w:rPr>
          <w:rStyle w:val="reflex3-alt"/>
          <w:sz w:val="16"/>
          <w:szCs w:val="16"/>
          <w:lang w:val="en"/>
        </w:rPr>
        <w:t>[2006] O.J. No. 4870</w:t>
      </w:r>
      <w:r w:rsidRPr="000809E5">
        <w:rPr>
          <w:rStyle w:val="reflex3-block"/>
          <w:sz w:val="16"/>
          <w:szCs w:val="16"/>
          <w:lang w:val="en"/>
        </w:rPr>
        <w:t xml:space="preserve"> at para.16 (Ont. C.A.)</w:t>
      </w:r>
      <w:r w:rsidRPr="000809E5">
        <w:rPr>
          <w:sz w:val="16"/>
          <w:szCs w:val="16"/>
        </w:rPr>
        <w:t xml:space="preserve">; </w:t>
      </w:r>
      <w:r w:rsidRPr="000809E5">
        <w:rPr>
          <w:i/>
          <w:sz w:val="16"/>
          <w:szCs w:val="16"/>
        </w:rPr>
        <w:t>R. v. D (D).</w:t>
      </w:r>
      <w:r w:rsidRPr="000809E5">
        <w:rPr>
          <w:sz w:val="16"/>
          <w:szCs w:val="16"/>
        </w:rPr>
        <w:t xml:space="preserve"> </w:t>
      </w:r>
      <w:r w:rsidRPr="000809E5">
        <w:rPr>
          <w:rStyle w:val="reflex3-block"/>
          <w:sz w:val="16"/>
          <w:szCs w:val="16"/>
          <w:lang w:val="en"/>
        </w:rPr>
        <w:t xml:space="preserve">(2002), </w:t>
      </w:r>
      <w:hyperlink r:id="rId3" w:history="1">
        <w:proofErr w:type="spellStart"/>
        <w:r w:rsidRPr="000809E5">
          <w:rPr>
            <w:rStyle w:val="reflex3-block"/>
            <w:rFonts w:ascii="Verdana" w:hAnsi="Verdana"/>
            <w:color w:val="027ABB"/>
            <w:sz w:val="16"/>
            <w:szCs w:val="16"/>
            <w:lang w:val="en"/>
          </w:rPr>
          <w:t>CanLII</w:t>
        </w:r>
        <w:proofErr w:type="spellEnd"/>
        <w:r w:rsidRPr="000809E5">
          <w:rPr>
            <w:rStyle w:val="reflex3-block"/>
            <w:rFonts w:ascii="Verdana" w:hAnsi="Verdana"/>
            <w:color w:val="027ABB"/>
            <w:sz w:val="16"/>
            <w:szCs w:val="16"/>
            <w:lang w:val="en"/>
          </w:rPr>
          <w:t xml:space="preserve"> 44915 (ON CA)</w:t>
        </w:r>
      </w:hyperlink>
      <w:r w:rsidRPr="000809E5">
        <w:rPr>
          <w:rStyle w:val="reflex3-block"/>
          <w:sz w:val="16"/>
          <w:szCs w:val="16"/>
          <w:lang w:val="en"/>
        </w:rPr>
        <w:t xml:space="preserve">, </w:t>
      </w:r>
      <w:r w:rsidRPr="000809E5">
        <w:rPr>
          <w:rStyle w:val="reflex3-alt"/>
          <w:sz w:val="16"/>
          <w:szCs w:val="16"/>
          <w:lang w:val="en"/>
        </w:rPr>
        <w:t>163 C.C.C. (3d) 471</w:t>
      </w:r>
      <w:r w:rsidRPr="000809E5">
        <w:rPr>
          <w:rStyle w:val="reflex3-block"/>
          <w:sz w:val="16"/>
          <w:szCs w:val="16"/>
          <w:lang w:val="en"/>
        </w:rPr>
        <w:t xml:space="preserve"> at para.33 (Ont. C.A.)</w:t>
      </w:r>
      <w:r w:rsidRPr="000809E5">
        <w:rPr>
          <w:sz w:val="16"/>
          <w:szCs w:val="16"/>
        </w:rPr>
        <w:t>.</w:t>
      </w:r>
    </w:p>
    <w:p w:rsidR="0067505C" w:rsidRDefault="0067505C" w:rsidP="00BF3433">
      <w:pPr>
        <w:pStyle w:val="FootnoteText"/>
      </w:pPr>
    </w:p>
  </w:footnote>
  <w:footnote w:id="4">
    <w:p w:rsidR="0067505C" w:rsidRPr="001E6EA4" w:rsidRDefault="0067505C">
      <w:pPr>
        <w:pStyle w:val="FootnoteText"/>
        <w:rPr>
          <w:sz w:val="16"/>
          <w:szCs w:val="16"/>
        </w:rPr>
      </w:pPr>
      <w:r w:rsidRPr="001E6EA4">
        <w:rPr>
          <w:rStyle w:val="FootnoteReference"/>
          <w:sz w:val="16"/>
          <w:szCs w:val="16"/>
        </w:rPr>
        <w:footnoteRef/>
      </w:r>
      <w:r w:rsidRPr="001E6EA4">
        <w:rPr>
          <w:sz w:val="16"/>
          <w:szCs w:val="16"/>
        </w:rPr>
        <w:t xml:space="preserve"> </w:t>
      </w:r>
      <w:r w:rsidRPr="001E6EA4">
        <w:rPr>
          <w:i/>
          <w:sz w:val="16"/>
          <w:szCs w:val="16"/>
        </w:rPr>
        <w:t>John Doe v. Ontario(Finance)</w:t>
      </w:r>
      <w:r w:rsidRPr="001E6EA4">
        <w:rPr>
          <w:sz w:val="16"/>
          <w:szCs w:val="16"/>
        </w:rPr>
        <w:t xml:space="preserve"> [2014] 2S.C.R. 3 at para.1</w:t>
      </w:r>
    </w:p>
  </w:footnote>
  <w:footnote w:id="5">
    <w:p w:rsidR="0067505C" w:rsidRPr="001E6EA4" w:rsidRDefault="0067505C">
      <w:pPr>
        <w:pStyle w:val="FootnoteText"/>
        <w:rPr>
          <w:sz w:val="16"/>
          <w:szCs w:val="16"/>
        </w:rPr>
      </w:pPr>
      <w:r w:rsidRPr="001E6EA4">
        <w:rPr>
          <w:rStyle w:val="FootnoteReference"/>
          <w:sz w:val="16"/>
          <w:szCs w:val="16"/>
        </w:rPr>
        <w:footnoteRef/>
      </w:r>
      <w:r w:rsidRPr="001E6EA4">
        <w:rPr>
          <w:sz w:val="16"/>
          <w:szCs w:val="16"/>
        </w:rPr>
        <w:t xml:space="preserve"> </w:t>
      </w:r>
      <w:r w:rsidRPr="001E6EA4">
        <w:rPr>
          <w:i/>
          <w:sz w:val="16"/>
          <w:szCs w:val="16"/>
        </w:rPr>
        <w:t>Canada (Information Commissioner) v. Canada (Minister of National Defence)</w:t>
      </w:r>
      <w:r w:rsidRPr="001E6EA4">
        <w:rPr>
          <w:sz w:val="16"/>
          <w:szCs w:val="16"/>
        </w:rPr>
        <w:t>, [2011] 2S.C.R. 306 at paras 15 (per Charron J.), 78-80 (per LebelJ. Concurring).</w:t>
      </w:r>
    </w:p>
  </w:footnote>
  <w:footnote w:id="6">
    <w:p w:rsidR="0067505C" w:rsidRPr="001E6EA4" w:rsidRDefault="0067505C">
      <w:pPr>
        <w:pStyle w:val="FootnoteText"/>
        <w:rPr>
          <w:sz w:val="16"/>
          <w:szCs w:val="16"/>
        </w:rPr>
      </w:pPr>
      <w:r w:rsidRPr="001E6EA4">
        <w:rPr>
          <w:rStyle w:val="FootnoteReference"/>
          <w:sz w:val="16"/>
          <w:szCs w:val="16"/>
        </w:rPr>
        <w:footnoteRef/>
      </w:r>
      <w:r w:rsidRPr="001E6EA4">
        <w:rPr>
          <w:i/>
          <w:sz w:val="16"/>
          <w:szCs w:val="16"/>
        </w:rPr>
        <w:t xml:space="preserve"> ibid</w:t>
      </w:r>
      <w:r w:rsidRPr="001E6EA4">
        <w:rPr>
          <w:sz w:val="16"/>
          <w:szCs w:val="16"/>
        </w:rPr>
        <w:t xml:space="preserve"> at paras 78-80</w:t>
      </w:r>
    </w:p>
  </w:footnote>
  <w:footnote w:id="7">
    <w:p w:rsidR="0067505C" w:rsidRPr="001E6EA4" w:rsidRDefault="0067505C">
      <w:pPr>
        <w:pStyle w:val="FootnoteText"/>
        <w:rPr>
          <w:sz w:val="16"/>
          <w:szCs w:val="16"/>
        </w:rPr>
      </w:pPr>
      <w:r w:rsidRPr="001E6EA4">
        <w:rPr>
          <w:rStyle w:val="FootnoteReference"/>
          <w:sz w:val="16"/>
          <w:szCs w:val="16"/>
        </w:rPr>
        <w:footnoteRef/>
      </w:r>
      <w:r w:rsidRPr="001E6EA4">
        <w:rPr>
          <w:sz w:val="16"/>
          <w:szCs w:val="16"/>
        </w:rPr>
        <w:t xml:space="preserve"> </w:t>
      </w:r>
      <w:r w:rsidRPr="001E6EA4">
        <w:rPr>
          <w:i/>
          <w:sz w:val="16"/>
          <w:szCs w:val="16"/>
        </w:rPr>
        <w:t>Dagg v. Canada (Minister of Finance)</w:t>
      </w:r>
      <w:r w:rsidRPr="001E6EA4">
        <w:rPr>
          <w:sz w:val="16"/>
          <w:szCs w:val="16"/>
        </w:rPr>
        <w:t xml:space="preserve">, [1997] S.C.R. 403 at para. 61(dissenting but not on this point). Lebel J.’s comments were adopted by the Ontario Court of Appeal in </w:t>
      </w:r>
      <w:r w:rsidRPr="001E6EA4">
        <w:rPr>
          <w:i/>
          <w:sz w:val="16"/>
          <w:szCs w:val="16"/>
        </w:rPr>
        <w:t>City Of Toronto Economic Development Corporation v. Ontario Information and Privacy Commissioner)</w:t>
      </w:r>
      <w:r w:rsidRPr="001E6EA4">
        <w:rPr>
          <w:sz w:val="16"/>
          <w:szCs w:val="16"/>
        </w:rPr>
        <w:t>, [2008] O.J. No. 1799, 2008 ONCA 366 at para.31</w:t>
      </w:r>
    </w:p>
  </w:footnote>
  <w:footnote w:id="8">
    <w:p w:rsidR="0067505C" w:rsidRDefault="0067505C">
      <w:pPr>
        <w:pStyle w:val="FootnoteText"/>
      </w:pPr>
      <w:r>
        <w:rPr>
          <w:rStyle w:val="FootnoteReference"/>
        </w:rPr>
        <w:footnoteRef/>
      </w:r>
      <w:r>
        <w:t xml:space="preserve"> 2016 ONCA 452</w:t>
      </w:r>
    </w:p>
  </w:footnote>
  <w:footnote w:id="9">
    <w:p w:rsidR="0067505C" w:rsidRDefault="0067505C">
      <w:pPr>
        <w:pStyle w:val="FootnoteText"/>
      </w:pPr>
      <w:r>
        <w:rPr>
          <w:rStyle w:val="FootnoteReference"/>
        </w:rPr>
        <w:footnoteRef/>
      </w:r>
      <w:r>
        <w:t xml:space="preserve"> 2016 ONSC 2071</w:t>
      </w:r>
    </w:p>
  </w:footnote>
  <w:footnote w:id="10">
    <w:p w:rsidR="00D350CD" w:rsidRDefault="00D350CD">
      <w:pPr>
        <w:pStyle w:val="FootnoteText"/>
      </w:pPr>
      <w:r>
        <w:rPr>
          <w:rStyle w:val="FootnoteReference"/>
        </w:rPr>
        <w:footnoteRef/>
      </w:r>
      <w:r>
        <w:t xml:space="preserve"> </w:t>
      </w:r>
      <w:r w:rsidR="00855FB5">
        <w:t>2017 ONCA 711</w:t>
      </w:r>
    </w:p>
  </w:footnote>
  <w:footnote w:id="11">
    <w:p w:rsidR="0067505C" w:rsidRDefault="0067505C">
      <w:pPr>
        <w:pStyle w:val="FootnoteText"/>
      </w:pPr>
      <w:r>
        <w:rPr>
          <w:rStyle w:val="FootnoteReference"/>
        </w:rPr>
        <w:footnoteRef/>
      </w:r>
      <w:r>
        <w:t xml:space="preserve"> </w:t>
      </w:r>
      <w:r w:rsidRPr="00727E6C">
        <w:rPr>
          <w:i/>
        </w:rPr>
        <w:t>R. v. Proulx</w:t>
      </w:r>
      <w:r>
        <w:t>, [2000] 1 S.C.R. 61 at para 100</w:t>
      </w:r>
    </w:p>
  </w:footnote>
  <w:footnote w:id="12">
    <w:p w:rsidR="0067505C" w:rsidRDefault="0067505C">
      <w:pPr>
        <w:pStyle w:val="FootnoteText"/>
      </w:pPr>
      <w:r>
        <w:rPr>
          <w:rStyle w:val="FootnoteReference"/>
        </w:rPr>
        <w:footnoteRef/>
      </w:r>
      <w:r>
        <w:t xml:space="preserve"> </w:t>
      </w:r>
      <w:r w:rsidRPr="008B23A9">
        <w:rPr>
          <w:i/>
        </w:rPr>
        <w:t>R. v. Jacko</w:t>
      </w:r>
      <w:r w:rsidR="00215B72">
        <w:t>, [2010] O.J. No. 2583 (</w:t>
      </w:r>
      <w:r>
        <w:t>C.A.) at para. 80</w:t>
      </w:r>
    </w:p>
  </w:footnote>
  <w:footnote w:id="13">
    <w:p w:rsidR="0067505C" w:rsidRPr="000B0D47" w:rsidRDefault="0067505C">
      <w:pPr>
        <w:pStyle w:val="FootnoteText"/>
      </w:pPr>
      <w:r w:rsidRPr="001418B7">
        <w:rPr>
          <w:rStyle w:val="FootnoteReference"/>
          <w:sz w:val="26"/>
          <w:szCs w:val="26"/>
        </w:rPr>
        <w:footnoteRef/>
      </w:r>
      <w:r w:rsidRPr="00215B72">
        <w:rPr>
          <w:i/>
          <w:sz w:val="26"/>
          <w:szCs w:val="26"/>
        </w:rPr>
        <w:t xml:space="preserve"> </w:t>
      </w:r>
      <w:r w:rsidRPr="00215B72">
        <w:rPr>
          <w:i/>
        </w:rPr>
        <w:t>Proulx</w:t>
      </w:r>
      <w:r w:rsidRPr="000B0D47">
        <w:rPr>
          <w:sz w:val="22"/>
          <w:szCs w:val="22"/>
        </w:rPr>
        <w:t>,</w:t>
      </w:r>
      <w:r w:rsidRPr="000B0D47">
        <w:t xml:space="preserve"> supra, at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5C" w:rsidRDefault="0067505C" w:rsidP="006503FF">
    <w:pPr>
      <w:jc w:val="center"/>
    </w:pPr>
    <w:proofErr w:type="gramStart"/>
    <w:r>
      <w:t xml:space="preserve">—  </w:t>
    </w:r>
    <w:proofErr w:type="gramEnd"/>
    <w:r>
      <w:fldChar w:fldCharType="begin"/>
    </w:r>
    <w:r>
      <w:instrText xml:space="preserve"> PAGE </w:instrText>
    </w:r>
    <w:r>
      <w:fldChar w:fldCharType="separate"/>
    </w:r>
    <w:r w:rsidR="008B18D0">
      <w:rPr>
        <w:noProof/>
      </w:rPr>
      <w:t>16</w:t>
    </w:r>
    <w:r>
      <w:fldChar w:fldCharType="end"/>
    </w:r>
    <w:r>
      <w:t xml:space="preserve">  —</w:t>
    </w:r>
  </w:p>
  <w:p w:rsidR="0067505C" w:rsidRPr="006503FF" w:rsidRDefault="0067505C" w:rsidP="006503FF">
    <w:pPr>
      <w:pStyle w:val="Header"/>
      <w:pBdr>
        <w:top w:val="single" w:sz="12" w:space="1" w:color="auto"/>
      </w:pBdr>
      <w:spacing w:before="12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04461"/>
    <w:multiLevelType w:val="singleLevel"/>
    <w:tmpl w:val="1E54F992"/>
    <w:lvl w:ilvl="0">
      <w:start w:val="1"/>
      <w:numFmt w:val="decimal"/>
      <w:pStyle w:val="ParagraphNumbered"/>
      <w:lvlText w:val="[%1]"/>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6"/>
        <w:vertAlign w:val="baseline"/>
      </w:rPr>
    </w:lvl>
  </w:abstractNum>
  <w:abstractNum w:abstractNumId="1">
    <w:nsid w:val="2A583B18"/>
    <w:multiLevelType w:val="hybridMultilevel"/>
    <w:tmpl w:val="CAB8692A"/>
    <w:lvl w:ilvl="0" w:tplc="DCCC0F3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77B05"/>
    <w:multiLevelType w:val="multilevel"/>
    <w:tmpl w:val="7E145070"/>
    <w:lvl w:ilvl="0">
      <w:start w:val="1"/>
      <w:numFmt w:val="upperRoman"/>
      <w:pStyle w:val="Heading1"/>
      <w:lvlText w:val="%1."/>
      <w:lvlJc w:val="left"/>
      <w:pPr>
        <w:ind w:left="432" w:hanging="432"/>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1"/>
        </w:tabs>
        <w:ind w:left="3601" w:hanging="721"/>
      </w:pPr>
      <w:rPr>
        <w:rFonts w:hint="default"/>
      </w:rPr>
    </w:lvl>
    <w:lvl w:ilvl="5">
      <w:start w:val="1"/>
      <w:numFmt w:val="lowerLetter"/>
      <w:pStyle w:val="Heading6"/>
      <w:lvlText w:val="(%6)"/>
      <w:lvlJc w:val="left"/>
      <w:pPr>
        <w:tabs>
          <w:tab w:val="num" w:pos="4321"/>
        </w:tabs>
        <w:ind w:left="4321" w:hanging="720"/>
      </w:pPr>
      <w:rPr>
        <w:rFonts w:hint="default"/>
      </w:rPr>
    </w:lvl>
    <w:lvl w:ilvl="6">
      <w:start w:val="1"/>
      <w:numFmt w:val="lowerRoman"/>
      <w:pStyle w:val="Heading7"/>
      <w:lvlText w:val="(%7)"/>
      <w:lvlJc w:val="left"/>
      <w:pPr>
        <w:ind w:left="5760" w:hanging="72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486B70A3"/>
    <w:multiLevelType w:val="multilevel"/>
    <w:tmpl w:val="8FDA3F7A"/>
    <w:lvl w:ilvl="0">
      <w:start w:val="1"/>
      <w:numFmt w:val="decimal"/>
      <w:pStyle w:val="MAINPARAGRAPH"/>
      <w:lvlText w:val="[%1]"/>
      <w:lvlJc w:val="left"/>
      <w:pPr>
        <w:ind w:left="0" w:firstLine="0"/>
      </w:pPr>
      <w:rPr>
        <w:rFonts w:hint="default"/>
      </w:rPr>
    </w:lvl>
    <w:lvl w:ilvl="1">
      <w:start w:val="1"/>
      <w:numFmt w:val="decimal"/>
      <w:pStyle w:val="Para1"/>
      <w:lvlText w:val="(%2)"/>
      <w:lvlJc w:val="left"/>
      <w:pPr>
        <w:tabs>
          <w:tab w:val="num" w:pos="720"/>
        </w:tabs>
        <w:ind w:left="720" w:firstLine="0"/>
      </w:pPr>
      <w:rPr>
        <w:rFonts w:hint="default"/>
      </w:rPr>
    </w:lvl>
    <w:lvl w:ilvl="2">
      <w:start w:val="1"/>
      <w:numFmt w:val="lowerLetter"/>
      <w:lvlRestart w:val="1"/>
      <w:pStyle w:val="Paraa"/>
      <w:lvlText w:val="(%3)"/>
      <w:lvlJc w:val="left"/>
      <w:pPr>
        <w:tabs>
          <w:tab w:val="num" w:pos="720"/>
        </w:tabs>
        <w:ind w:left="720" w:firstLine="0"/>
      </w:pPr>
      <w:rPr>
        <w:rFonts w:hint="default"/>
      </w:rPr>
    </w:lvl>
    <w:lvl w:ilvl="3">
      <w:start w:val="1"/>
      <w:numFmt w:val="lowerRoman"/>
      <w:lvlRestart w:val="1"/>
      <w:pStyle w:val="Parai"/>
      <w:lvlText w:val="(%4)"/>
      <w:lvlJc w:val="left"/>
      <w:pPr>
        <w:tabs>
          <w:tab w:val="num" w:pos="720"/>
        </w:tabs>
        <w:ind w:left="720" w:firstLine="0"/>
      </w:pPr>
      <w:rPr>
        <w:rFonts w:hint="default"/>
      </w:rPr>
    </w:lvl>
    <w:lvl w:ilvl="4">
      <w:start w:val="1"/>
      <w:numFmt w:val="decimal"/>
      <w:lvlRestart w:val="1"/>
      <w:pStyle w:val="Para10"/>
      <w:lvlText w:val="%5."/>
      <w:lvlJc w:val="left"/>
      <w:pPr>
        <w:tabs>
          <w:tab w:val="num" w:pos="720"/>
        </w:tabs>
        <w:ind w:left="720" w:firstLine="0"/>
      </w:pPr>
      <w:rPr>
        <w:rFonts w:hint="default"/>
      </w:rPr>
    </w:lvl>
    <w:lvl w:ilvl="5">
      <w:start w:val="1"/>
      <w:numFmt w:val="lowerLetter"/>
      <w:pStyle w:val="Para1a"/>
      <w:lvlText w:val="(%6)"/>
      <w:lvlJc w:val="left"/>
      <w:pPr>
        <w:tabs>
          <w:tab w:val="num" w:pos="2160"/>
        </w:tabs>
        <w:ind w:left="2160" w:hanging="720"/>
      </w:pPr>
      <w:rPr>
        <w:rFonts w:hint="default"/>
      </w:rPr>
    </w:lvl>
    <w:lvl w:ilvl="6">
      <w:start w:val="1"/>
      <w:numFmt w:val="lowerRoman"/>
      <w:pStyle w:val="Para1i"/>
      <w:lvlText w:val="(%7)"/>
      <w:lvlJc w:val="left"/>
      <w:pPr>
        <w:tabs>
          <w:tab w:val="num" w:pos="2880"/>
        </w:tabs>
        <w:ind w:left="2880" w:hanging="72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82"/>
    <w:rsid w:val="000006B3"/>
    <w:rsid w:val="000007FA"/>
    <w:rsid w:val="00000BEF"/>
    <w:rsid w:val="00001E8E"/>
    <w:rsid w:val="0000359E"/>
    <w:rsid w:val="00003D4A"/>
    <w:rsid w:val="00004BE9"/>
    <w:rsid w:val="000068FE"/>
    <w:rsid w:val="000070F7"/>
    <w:rsid w:val="000121DA"/>
    <w:rsid w:val="0001320A"/>
    <w:rsid w:val="0001376A"/>
    <w:rsid w:val="0001424B"/>
    <w:rsid w:val="00015C9A"/>
    <w:rsid w:val="00017D0A"/>
    <w:rsid w:val="000220B0"/>
    <w:rsid w:val="00034A87"/>
    <w:rsid w:val="00034EEE"/>
    <w:rsid w:val="00034F95"/>
    <w:rsid w:val="00035F70"/>
    <w:rsid w:val="00037381"/>
    <w:rsid w:val="00040A1E"/>
    <w:rsid w:val="00041AF2"/>
    <w:rsid w:val="00041AF5"/>
    <w:rsid w:val="00042617"/>
    <w:rsid w:val="0004282A"/>
    <w:rsid w:val="00046A21"/>
    <w:rsid w:val="00052162"/>
    <w:rsid w:val="00052848"/>
    <w:rsid w:val="00052AE7"/>
    <w:rsid w:val="00052DAE"/>
    <w:rsid w:val="00054C3A"/>
    <w:rsid w:val="00055186"/>
    <w:rsid w:val="000603C0"/>
    <w:rsid w:val="00060BF1"/>
    <w:rsid w:val="000630C0"/>
    <w:rsid w:val="00064348"/>
    <w:rsid w:val="00064D8A"/>
    <w:rsid w:val="00067326"/>
    <w:rsid w:val="00070F3B"/>
    <w:rsid w:val="0007211A"/>
    <w:rsid w:val="00072804"/>
    <w:rsid w:val="00073E41"/>
    <w:rsid w:val="00077273"/>
    <w:rsid w:val="000777A7"/>
    <w:rsid w:val="00077CEB"/>
    <w:rsid w:val="00077D63"/>
    <w:rsid w:val="00080291"/>
    <w:rsid w:val="000809E5"/>
    <w:rsid w:val="0008303E"/>
    <w:rsid w:val="000878BA"/>
    <w:rsid w:val="000903EF"/>
    <w:rsid w:val="00091413"/>
    <w:rsid w:val="00091AC3"/>
    <w:rsid w:val="0009331A"/>
    <w:rsid w:val="00093F01"/>
    <w:rsid w:val="00095E75"/>
    <w:rsid w:val="00096C9C"/>
    <w:rsid w:val="0009719B"/>
    <w:rsid w:val="000A2ABC"/>
    <w:rsid w:val="000A54A1"/>
    <w:rsid w:val="000B0D47"/>
    <w:rsid w:val="000B1F74"/>
    <w:rsid w:val="000B2757"/>
    <w:rsid w:val="000B2B4A"/>
    <w:rsid w:val="000B2FAF"/>
    <w:rsid w:val="000C15D7"/>
    <w:rsid w:val="000D23EC"/>
    <w:rsid w:val="000D4B35"/>
    <w:rsid w:val="000D5E57"/>
    <w:rsid w:val="000D5F5C"/>
    <w:rsid w:val="000D708D"/>
    <w:rsid w:val="000E1DFE"/>
    <w:rsid w:val="000E36EA"/>
    <w:rsid w:val="000E4028"/>
    <w:rsid w:val="000E481A"/>
    <w:rsid w:val="000E73CA"/>
    <w:rsid w:val="000F1571"/>
    <w:rsid w:val="000F2EF5"/>
    <w:rsid w:val="000F34BD"/>
    <w:rsid w:val="000F360E"/>
    <w:rsid w:val="000F3757"/>
    <w:rsid w:val="000F6230"/>
    <w:rsid w:val="000F685B"/>
    <w:rsid w:val="00101BFC"/>
    <w:rsid w:val="0010413D"/>
    <w:rsid w:val="001041EB"/>
    <w:rsid w:val="00104843"/>
    <w:rsid w:val="0010668E"/>
    <w:rsid w:val="00106950"/>
    <w:rsid w:val="00107C22"/>
    <w:rsid w:val="00112BB7"/>
    <w:rsid w:val="00113269"/>
    <w:rsid w:val="0011452D"/>
    <w:rsid w:val="00115838"/>
    <w:rsid w:val="00116426"/>
    <w:rsid w:val="00116845"/>
    <w:rsid w:val="00116DF8"/>
    <w:rsid w:val="0011733B"/>
    <w:rsid w:val="001175F5"/>
    <w:rsid w:val="0012214E"/>
    <w:rsid w:val="00122863"/>
    <w:rsid w:val="00122A02"/>
    <w:rsid w:val="00122B8C"/>
    <w:rsid w:val="00124420"/>
    <w:rsid w:val="00124E1E"/>
    <w:rsid w:val="00125A3B"/>
    <w:rsid w:val="00126072"/>
    <w:rsid w:val="00126CAB"/>
    <w:rsid w:val="00130E23"/>
    <w:rsid w:val="0013518C"/>
    <w:rsid w:val="0014157B"/>
    <w:rsid w:val="001416EE"/>
    <w:rsid w:val="001418B7"/>
    <w:rsid w:val="00146140"/>
    <w:rsid w:val="00146AE5"/>
    <w:rsid w:val="00146B8C"/>
    <w:rsid w:val="00147630"/>
    <w:rsid w:val="00151305"/>
    <w:rsid w:val="001528E7"/>
    <w:rsid w:val="00152EB1"/>
    <w:rsid w:val="00154298"/>
    <w:rsid w:val="00155F94"/>
    <w:rsid w:val="00156879"/>
    <w:rsid w:val="0015709E"/>
    <w:rsid w:val="00157213"/>
    <w:rsid w:val="001612C0"/>
    <w:rsid w:val="0016181E"/>
    <w:rsid w:val="00161F63"/>
    <w:rsid w:val="00163853"/>
    <w:rsid w:val="0016797F"/>
    <w:rsid w:val="0017000F"/>
    <w:rsid w:val="0017012E"/>
    <w:rsid w:val="00170C3D"/>
    <w:rsid w:val="0017241D"/>
    <w:rsid w:val="00172501"/>
    <w:rsid w:val="00172FB0"/>
    <w:rsid w:val="001774D7"/>
    <w:rsid w:val="00177994"/>
    <w:rsid w:val="00180BEC"/>
    <w:rsid w:val="00181A8C"/>
    <w:rsid w:val="00181FF8"/>
    <w:rsid w:val="00182A0D"/>
    <w:rsid w:val="0018344A"/>
    <w:rsid w:val="001873C3"/>
    <w:rsid w:val="0019055F"/>
    <w:rsid w:val="001931AA"/>
    <w:rsid w:val="001940E6"/>
    <w:rsid w:val="00195CBF"/>
    <w:rsid w:val="001A14BE"/>
    <w:rsid w:val="001A31E8"/>
    <w:rsid w:val="001A54DC"/>
    <w:rsid w:val="001A590B"/>
    <w:rsid w:val="001A60F4"/>
    <w:rsid w:val="001A6323"/>
    <w:rsid w:val="001A73EA"/>
    <w:rsid w:val="001A7F1C"/>
    <w:rsid w:val="001B0449"/>
    <w:rsid w:val="001B38EA"/>
    <w:rsid w:val="001B46AB"/>
    <w:rsid w:val="001B7D6B"/>
    <w:rsid w:val="001C0001"/>
    <w:rsid w:val="001C0475"/>
    <w:rsid w:val="001C160F"/>
    <w:rsid w:val="001C1880"/>
    <w:rsid w:val="001C304F"/>
    <w:rsid w:val="001C32FD"/>
    <w:rsid w:val="001C55D0"/>
    <w:rsid w:val="001C61AE"/>
    <w:rsid w:val="001C7A7C"/>
    <w:rsid w:val="001D05B9"/>
    <w:rsid w:val="001D5012"/>
    <w:rsid w:val="001D5B38"/>
    <w:rsid w:val="001D7400"/>
    <w:rsid w:val="001D7427"/>
    <w:rsid w:val="001E1377"/>
    <w:rsid w:val="001E187D"/>
    <w:rsid w:val="001E32DE"/>
    <w:rsid w:val="001E3874"/>
    <w:rsid w:val="001E45C8"/>
    <w:rsid w:val="001E6446"/>
    <w:rsid w:val="001E6781"/>
    <w:rsid w:val="001E6EA4"/>
    <w:rsid w:val="001F1BC2"/>
    <w:rsid w:val="001F6ABA"/>
    <w:rsid w:val="002002E5"/>
    <w:rsid w:val="00205010"/>
    <w:rsid w:val="00205460"/>
    <w:rsid w:val="002076E4"/>
    <w:rsid w:val="00207A7A"/>
    <w:rsid w:val="00210901"/>
    <w:rsid w:val="002117FA"/>
    <w:rsid w:val="00211BC9"/>
    <w:rsid w:val="00212351"/>
    <w:rsid w:val="00212CBF"/>
    <w:rsid w:val="00213C2E"/>
    <w:rsid w:val="00214580"/>
    <w:rsid w:val="00214E85"/>
    <w:rsid w:val="00215B72"/>
    <w:rsid w:val="00220360"/>
    <w:rsid w:val="00220490"/>
    <w:rsid w:val="00221059"/>
    <w:rsid w:val="00224660"/>
    <w:rsid w:val="00225C07"/>
    <w:rsid w:val="00233176"/>
    <w:rsid w:val="002337C0"/>
    <w:rsid w:val="00233C48"/>
    <w:rsid w:val="00233F87"/>
    <w:rsid w:val="002348D0"/>
    <w:rsid w:val="0023493E"/>
    <w:rsid w:val="0023618D"/>
    <w:rsid w:val="00240A72"/>
    <w:rsid w:val="00240E5B"/>
    <w:rsid w:val="0024191C"/>
    <w:rsid w:val="00241C7F"/>
    <w:rsid w:val="00243418"/>
    <w:rsid w:val="00243BAB"/>
    <w:rsid w:val="002441CE"/>
    <w:rsid w:val="002448C2"/>
    <w:rsid w:val="00245A89"/>
    <w:rsid w:val="0024716E"/>
    <w:rsid w:val="00251052"/>
    <w:rsid w:val="00251CE0"/>
    <w:rsid w:val="00252C08"/>
    <w:rsid w:val="002531CB"/>
    <w:rsid w:val="00254C3E"/>
    <w:rsid w:val="0025543C"/>
    <w:rsid w:val="00256871"/>
    <w:rsid w:val="002618C7"/>
    <w:rsid w:val="00264323"/>
    <w:rsid w:val="00264785"/>
    <w:rsid w:val="00266733"/>
    <w:rsid w:val="002713B0"/>
    <w:rsid w:val="002715AA"/>
    <w:rsid w:val="00271961"/>
    <w:rsid w:val="002732D1"/>
    <w:rsid w:val="00280726"/>
    <w:rsid w:val="002809A7"/>
    <w:rsid w:val="00280B78"/>
    <w:rsid w:val="002825C8"/>
    <w:rsid w:val="00282658"/>
    <w:rsid w:val="002847FE"/>
    <w:rsid w:val="0028758F"/>
    <w:rsid w:val="00287ECD"/>
    <w:rsid w:val="00291DB4"/>
    <w:rsid w:val="0029504C"/>
    <w:rsid w:val="002A4AFA"/>
    <w:rsid w:val="002A549C"/>
    <w:rsid w:val="002A6548"/>
    <w:rsid w:val="002A657F"/>
    <w:rsid w:val="002A771B"/>
    <w:rsid w:val="002B0695"/>
    <w:rsid w:val="002B1822"/>
    <w:rsid w:val="002B5BDB"/>
    <w:rsid w:val="002C1CB4"/>
    <w:rsid w:val="002C263E"/>
    <w:rsid w:val="002C2E41"/>
    <w:rsid w:val="002C6FB2"/>
    <w:rsid w:val="002C748B"/>
    <w:rsid w:val="002D5C30"/>
    <w:rsid w:val="002D5E37"/>
    <w:rsid w:val="002D7492"/>
    <w:rsid w:val="002D7618"/>
    <w:rsid w:val="002D77E9"/>
    <w:rsid w:val="002E0A32"/>
    <w:rsid w:val="002E0DFE"/>
    <w:rsid w:val="002E2699"/>
    <w:rsid w:val="002E38C1"/>
    <w:rsid w:val="002E4DBE"/>
    <w:rsid w:val="002E6A94"/>
    <w:rsid w:val="002E6C6F"/>
    <w:rsid w:val="002E7E7B"/>
    <w:rsid w:val="002F100B"/>
    <w:rsid w:val="002F1BC8"/>
    <w:rsid w:val="002F1EED"/>
    <w:rsid w:val="002F4DED"/>
    <w:rsid w:val="002F5FA6"/>
    <w:rsid w:val="002F68E1"/>
    <w:rsid w:val="002F6EC0"/>
    <w:rsid w:val="002F7DF0"/>
    <w:rsid w:val="00300096"/>
    <w:rsid w:val="00300DB6"/>
    <w:rsid w:val="00300F27"/>
    <w:rsid w:val="00310282"/>
    <w:rsid w:val="00311061"/>
    <w:rsid w:val="00311901"/>
    <w:rsid w:val="0031639F"/>
    <w:rsid w:val="00317A6F"/>
    <w:rsid w:val="00320D6B"/>
    <w:rsid w:val="003212A7"/>
    <w:rsid w:val="003219F0"/>
    <w:rsid w:val="003231FB"/>
    <w:rsid w:val="0032441D"/>
    <w:rsid w:val="00325118"/>
    <w:rsid w:val="0032511B"/>
    <w:rsid w:val="00326527"/>
    <w:rsid w:val="00327683"/>
    <w:rsid w:val="0033149A"/>
    <w:rsid w:val="00332D6A"/>
    <w:rsid w:val="0033370F"/>
    <w:rsid w:val="00333878"/>
    <w:rsid w:val="003341B8"/>
    <w:rsid w:val="00336B3C"/>
    <w:rsid w:val="003375FD"/>
    <w:rsid w:val="0034032B"/>
    <w:rsid w:val="003417AB"/>
    <w:rsid w:val="003458E0"/>
    <w:rsid w:val="00346300"/>
    <w:rsid w:val="00347894"/>
    <w:rsid w:val="00356215"/>
    <w:rsid w:val="00356833"/>
    <w:rsid w:val="00357BD7"/>
    <w:rsid w:val="00357BE5"/>
    <w:rsid w:val="00362CC4"/>
    <w:rsid w:val="00366609"/>
    <w:rsid w:val="00370A4B"/>
    <w:rsid w:val="00370E7F"/>
    <w:rsid w:val="00371164"/>
    <w:rsid w:val="003717F8"/>
    <w:rsid w:val="00371A1E"/>
    <w:rsid w:val="0037291D"/>
    <w:rsid w:val="00373A74"/>
    <w:rsid w:val="0037451D"/>
    <w:rsid w:val="00375912"/>
    <w:rsid w:val="00376D4F"/>
    <w:rsid w:val="00380212"/>
    <w:rsid w:val="00380BA8"/>
    <w:rsid w:val="00382479"/>
    <w:rsid w:val="0038381F"/>
    <w:rsid w:val="00383A7F"/>
    <w:rsid w:val="00384246"/>
    <w:rsid w:val="00385DC4"/>
    <w:rsid w:val="003862EF"/>
    <w:rsid w:val="00386914"/>
    <w:rsid w:val="0039285C"/>
    <w:rsid w:val="00393130"/>
    <w:rsid w:val="003940D9"/>
    <w:rsid w:val="0039470B"/>
    <w:rsid w:val="00395024"/>
    <w:rsid w:val="00395BAC"/>
    <w:rsid w:val="0039653B"/>
    <w:rsid w:val="00397045"/>
    <w:rsid w:val="003973FF"/>
    <w:rsid w:val="00397738"/>
    <w:rsid w:val="00397E48"/>
    <w:rsid w:val="003A23E9"/>
    <w:rsid w:val="003A3DA8"/>
    <w:rsid w:val="003A444B"/>
    <w:rsid w:val="003A53FA"/>
    <w:rsid w:val="003A55EF"/>
    <w:rsid w:val="003B0821"/>
    <w:rsid w:val="003B08BC"/>
    <w:rsid w:val="003B1402"/>
    <w:rsid w:val="003B1680"/>
    <w:rsid w:val="003B2292"/>
    <w:rsid w:val="003B35C9"/>
    <w:rsid w:val="003B47F9"/>
    <w:rsid w:val="003B6CBA"/>
    <w:rsid w:val="003B73E8"/>
    <w:rsid w:val="003B7D49"/>
    <w:rsid w:val="003C1CE1"/>
    <w:rsid w:val="003D049A"/>
    <w:rsid w:val="003D2005"/>
    <w:rsid w:val="003D3686"/>
    <w:rsid w:val="003D4FBD"/>
    <w:rsid w:val="003D5896"/>
    <w:rsid w:val="003D6AC8"/>
    <w:rsid w:val="003D6E57"/>
    <w:rsid w:val="003D7CAC"/>
    <w:rsid w:val="003E31C2"/>
    <w:rsid w:val="003E77D0"/>
    <w:rsid w:val="003F2E8F"/>
    <w:rsid w:val="003F2E9E"/>
    <w:rsid w:val="003F32A9"/>
    <w:rsid w:val="003F7C4E"/>
    <w:rsid w:val="00401C69"/>
    <w:rsid w:val="00401FC8"/>
    <w:rsid w:val="004025F6"/>
    <w:rsid w:val="00402758"/>
    <w:rsid w:val="00403973"/>
    <w:rsid w:val="00404902"/>
    <w:rsid w:val="00406A3D"/>
    <w:rsid w:val="00410F57"/>
    <w:rsid w:val="00411491"/>
    <w:rsid w:val="00412C21"/>
    <w:rsid w:val="004149E6"/>
    <w:rsid w:val="00414B92"/>
    <w:rsid w:val="004177D8"/>
    <w:rsid w:val="004203DE"/>
    <w:rsid w:val="00425984"/>
    <w:rsid w:val="00426CCB"/>
    <w:rsid w:val="004275FA"/>
    <w:rsid w:val="004344A1"/>
    <w:rsid w:val="004355F7"/>
    <w:rsid w:val="004356FB"/>
    <w:rsid w:val="00435AA8"/>
    <w:rsid w:val="004423C4"/>
    <w:rsid w:val="00442E82"/>
    <w:rsid w:val="00446262"/>
    <w:rsid w:val="0044722F"/>
    <w:rsid w:val="004502CF"/>
    <w:rsid w:val="00451873"/>
    <w:rsid w:val="00451E5B"/>
    <w:rsid w:val="0045250B"/>
    <w:rsid w:val="00456691"/>
    <w:rsid w:val="00460191"/>
    <w:rsid w:val="00460D2F"/>
    <w:rsid w:val="00463F54"/>
    <w:rsid w:val="00464876"/>
    <w:rsid w:val="0046798D"/>
    <w:rsid w:val="0047010E"/>
    <w:rsid w:val="00471AE4"/>
    <w:rsid w:val="004721A2"/>
    <w:rsid w:val="00472866"/>
    <w:rsid w:val="00477560"/>
    <w:rsid w:val="0047792F"/>
    <w:rsid w:val="00481A6F"/>
    <w:rsid w:val="0048222D"/>
    <w:rsid w:val="00485A40"/>
    <w:rsid w:val="00486557"/>
    <w:rsid w:val="00487402"/>
    <w:rsid w:val="00487C4E"/>
    <w:rsid w:val="00493389"/>
    <w:rsid w:val="00495606"/>
    <w:rsid w:val="00495C78"/>
    <w:rsid w:val="00495CE1"/>
    <w:rsid w:val="00496220"/>
    <w:rsid w:val="00496686"/>
    <w:rsid w:val="004966FA"/>
    <w:rsid w:val="00496792"/>
    <w:rsid w:val="00497BCE"/>
    <w:rsid w:val="00497D4B"/>
    <w:rsid w:val="004A0D0C"/>
    <w:rsid w:val="004A20CB"/>
    <w:rsid w:val="004A2A97"/>
    <w:rsid w:val="004A353F"/>
    <w:rsid w:val="004A4AF2"/>
    <w:rsid w:val="004A5BCB"/>
    <w:rsid w:val="004B313F"/>
    <w:rsid w:val="004B36A5"/>
    <w:rsid w:val="004B50F0"/>
    <w:rsid w:val="004B5290"/>
    <w:rsid w:val="004B6C73"/>
    <w:rsid w:val="004B700C"/>
    <w:rsid w:val="004B73C9"/>
    <w:rsid w:val="004B7FDC"/>
    <w:rsid w:val="004C0118"/>
    <w:rsid w:val="004C0368"/>
    <w:rsid w:val="004C0768"/>
    <w:rsid w:val="004C0A63"/>
    <w:rsid w:val="004C1A4E"/>
    <w:rsid w:val="004C6C2F"/>
    <w:rsid w:val="004C79DC"/>
    <w:rsid w:val="004C7AE1"/>
    <w:rsid w:val="004D1D51"/>
    <w:rsid w:val="004D2184"/>
    <w:rsid w:val="004D2570"/>
    <w:rsid w:val="004D2DA6"/>
    <w:rsid w:val="004D50F0"/>
    <w:rsid w:val="004D66F6"/>
    <w:rsid w:val="004D78D1"/>
    <w:rsid w:val="004D7B51"/>
    <w:rsid w:val="004E00E7"/>
    <w:rsid w:val="004E01AF"/>
    <w:rsid w:val="004E0500"/>
    <w:rsid w:val="004E0A1C"/>
    <w:rsid w:val="004E18A0"/>
    <w:rsid w:val="004E1FA5"/>
    <w:rsid w:val="004E220A"/>
    <w:rsid w:val="004E3A48"/>
    <w:rsid w:val="004E3E8A"/>
    <w:rsid w:val="004E4601"/>
    <w:rsid w:val="004E691A"/>
    <w:rsid w:val="004F3F52"/>
    <w:rsid w:val="004F6630"/>
    <w:rsid w:val="00500688"/>
    <w:rsid w:val="00500D56"/>
    <w:rsid w:val="00501362"/>
    <w:rsid w:val="00502BFE"/>
    <w:rsid w:val="005034BA"/>
    <w:rsid w:val="0050520F"/>
    <w:rsid w:val="0050720D"/>
    <w:rsid w:val="005078BC"/>
    <w:rsid w:val="00511F4D"/>
    <w:rsid w:val="00515FCB"/>
    <w:rsid w:val="0051658A"/>
    <w:rsid w:val="00520202"/>
    <w:rsid w:val="005236E5"/>
    <w:rsid w:val="00525310"/>
    <w:rsid w:val="00530EEA"/>
    <w:rsid w:val="00532D01"/>
    <w:rsid w:val="0053311A"/>
    <w:rsid w:val="00533DE0"/>
    <w:rsid w:val="00536E92"/>
    <w:rsid w:val="005402A5"/>
    <w:rsid w:val="00543826"/>
    <w:rsid w:val="00543C0D"/>
    <w:rsid w:val="0054492F"/>
    <w:rsid w:val="00546052"/>
    <w:rsid w:val="00550F81"/>
    <w:rsid w:val="00553BC2"/>
    <w:rsid w:val="00553CC1"/>
    <w:rsid w:val="00554556"/>
    <w:rsid w:val="00555FA3"/>
    <w:rsid w:val="00556799"/>
    <w:rsid w:val="00556AB4"/>
    <w:rsid w:val="00556C93"/>
    <w:rsid w:val="00560727"/>
    <w:rsid w:val="00560A9B"/>
    <w:rsid w:val="00560F9E"/>
    <w:rsid w:val="00570776"/>
    <w:rsid w:val="0057378A"/>
    <w:rsid w:val="005765C0"/>
    <w:rsid w:val="005772FC"/>
    <w:rsid w:val="005779D8"/>
    <w:rsid w:val="00580066"/>
    <w:rsid w:val="00584B52"/>
    <w:rsid w:val="00585E99"/>
    <w:rsid w:val="005921B6"/>
    <w:rsid w:val="00592D54"/>
    <w:rsid w:val="00592E49"/>
    <w:rsid w:val="00594231"/>
    <w:rsid w:val="00597DF6"/>
    <w:rsid w:val="005A06C9"/>
    <w:rsid w:val="005A0D95"/>
    <w:rsid w:val="005A2014"/>
    <w:rsid w:val="005A27F3"/>
    <w:rsid w:val="005A4005"/>
    <w:rsid w:val="005A40C2"/>
    <w:rsid w:val="005A53AE"/>
    <w:rsid w:val="005A616C"/>
    <w:rsid w:val="005A7F71"/>
    <w:rsid w:val="005B2526"/>
    <w:rsid w:val="005B3FFB"/>
    <w:rsid w:val="005B5E14"/>
    <w:rsid w:val="005C0B64"/>
    <w:rsid w:val="005C15E7"/>
    <w:rsid w:val="005C3E40"/>
    <w:rsid w:val="005C43C3"/>
    <w:rsid w:val="005C452D"/>
    <w:rsid w:val="005C4EB7"/>
    <w:rsid w:val="005D0F69"/>
    <w:rsid w:val="005D13FC"/>
    <w:rsid w:val="005D2887"/>
    <w:rsid w:val="005D6F85"/>
    <w:rsid w:val="005D716F"/>
    <w:rsid w:val="005E0731"/>
    <w:rsid w:val="005E1883"/>
    <w:rsid w:val="005E2B75"/>
    <w:rsid w:val="005E44C6"/>
    <w:rsid w:val="005F00F7"/>
    <w:rsid w:val="005F08A8"/>
    <w:rsid w:val="005F1555"/>
    <w:rsid w:val="005F1A91"/>
    <w:rsid w:val="005F29A6"/>
    <w:rsid w:val="005F360A"/>
    <w:rsid w:val="005F3C61"/>
    <w:rsid w:val="005F4786"/>
    <w:rsid w:val="005F4959"/>
    <w:rsid w:val="005F49E4"/>
    <w:rsid w:val="005F67C9"/>
    <w:rsid w:val="005F67E4"/>
    <w:rsid w:val="00605F9E"/>
    <w:rsid w:val="006068C6"/>
    <w:rsid w:val="0060775C"/>
    <w:rsid w:val="00610366"/>
    <w:rsid w:val="0061347E"/>
    <w:rsid w:val="00616418"/>
    <w:rsid w:val="00616BEA"/>
    <w:rsid w:val="006171BE"/>
    <w:rsid w:val="00620372"/>
    <w:rsid w:val="006204B9"/>
    <w:rsid w:val="00620708"/>
    <w:rsid w:val="00622867"/>
    <w:rsid w:val="00624644"/>
    <w:rsid w:val="00625D6B"/>
    <w:rsid w:val="00625FBC"/>
    <w:rsid w:val="006268B7"/>
    <w:rsid w:val="006322FD"/>
    <w:rsid w:val="00633421"/>
    <w:rsid w:val="0063690A"/>
    <w:rsid w:val="00636A5F"/>
    <w:rsid w:val="006409C7"/>
    <w:rsid w:val="00640AE6"/>
    <w:rsid w:val="00641C8C"/>
    <w:rsid w:val="00643ABB"/>
    <w:rsid w:val="006503FF"/>
    <w:rsid w:val="0065101E"/>
    <w:rsid w:val="00651316"/>
    <w:rsid w:val="006513D5"/>
    <w:rsid w:val="00651773"/>
    <w:rsid w:val="00651A9A"/>
    <w:rsid w:val="006558C2"/>
    <w:rsid w:val="00660A74"/>
    <w:rsid w:val="0066203B"/>
    <w:rsid w:val="006634E4"/>
    <w:rsid w:val="00663851"/>
    <w:rsid w:val="00663EB6"/>
    <w:rsid w:val="00664C37"/>
    <w:rsid w:val="00664D4C"/>
    <w:rsid w:val="00664F26"/>
    <w:rsid w:val="0066508B"/>
    <w:rsid w:val="00665977"/>
    <w:rsid w:val="0067505C"/>
    <w:rsid w:val="006816E1"/>
    <w:rsid w:val="00681AC8"/>
    <w:rsid w:val="00683913"/>
    <w:rsid w:val="00683E5E"/>
    <w:rsid w:val="00687ECC"/>
    <w:rsid w:val="00695D00"/>
    <w:rsid w:val="00696C0F"/>
    <w:rsid w:val="006A0D78"/>
    <w:rsid w:val="006A42B3"/>
    <w:rsid w:val="006A47B9"/>
    <w:rsid w:val="006A4F2B"/>
    <w:rsid w:val="006A5BF9"/>
    <w:rsid w:val="006B1BCD"/>
    <w:rsid w:val="006B4DF8"/>
    <w:rsid w:val="006B507C"/>
    <w:rsid w:val="006B57D5"/>
    <w:rsid w:val="006B649D"/>
    <w:rsid w:val="006C0985"/>
    <w:rsid w:val="006C21DD"/>
    <w:rsid w:val="006C2660"/>
    <w:rsid w:val="006C2D2F"/>
    <w:rsid w:val="006C2E59"/>
    <w:rsid w:val="006C3EC0"/>
    <w:rsid w:val="006C7163"/>
    <w:rsid w:val="006D0A44"/>
    <w:rsid w:val="006D0FC5"/>
    <w:rsid w:val="006D2E6C"/>
    <w:rsid w:val="006D3ED4"/>
    <w:rsid w:val="006D789C"/>
    <w:rsid w:val="006D7EF2"/>
    <w:rsid w:val="006E16E2"/>
    <w:rsid w:val="006E279D"/>
    <w:rsid w:val="006E2E12"/>
    <w:rsid w:val="006E3203"/>
    <w:rsid w:val="006F0769"/>
    <w:rsid w:val="006F1085"/>
    <w:rsid w:val="006F21B4"/>
    <w:rsid w:val="006F25D6"/>
    <w:rsid w:val="006F27F3"/>
    <w:rsid w:val="006F30EA"/>
    <w:rsid w:val="006F3550"/>
    <w:rsid w:val="006F456D"/>
    <w:rsid w:val="006F7246"/>
    <w:rsid w:val="0070063C"/>
    <w:rsid w:val="0070295D"/>
    <w:rsid w:val="00703784"/>
    <w:rsid w:val="00704969"/>
    <w:rsid w:val="00704AD2"/>
    <w:rsid w:val="0070672C"/>
    <w:rsid w:val="0071258D"/>
    <w:rsid w:val="00712AA4"/>
    <w:rsid w:val="00712D8E"/>
    <w:rsid w:val="00712F5E"/>
    <w:rsid w:val="00713613"/>
    <w:rsid w:val="00714337"/>
    <w:rsid w:val="00714507"/>
    <w:rsid w:val="00716AEA"/>
    <w:rsid w:val="00717BAA"/>
    <w:rsid w:val="0072112B"/>
    <w:rsid w:val="00721569"/>
    <w:rsid w:val="00724481"/>
    <w:rsid w:val="00724F15"/>
    <w:rsid w:val="00725224"/>
    <w:rsid w:val="00725924"/>
    <w:rsid w:val="00726CB0"/>
    <w:rsid w:val="00727E6C"/>
    <w:rsid w:val="00730EE7"/>
    <w:rsid w:val="007319A1"/>
    <w:rsid w:val="00732C18"/>
    <w:rsid w:val="00732D0A"/>
    <w:rsid w:val="00736021"/>
    <w:rsid w:val="007402EE"/>
    <w:rsid w:val="00740B54"/>
    <w:rsid w:val="00741643"/>
    <w:rsid w:val="0074287E"/>
    <w:rsid w:val="00750170"/>
    <w:rsid w:val="00763A9D"/>
    <w:rsid w:val="00764972"/>
    <w:rsid w:val="0076571E"/>
    <w:rsid w:val="007677C0"/>
    <w:rsid w:val="00770E9E"/>
    <w:rsid w:val="00771E80"/>
    <w:rsid w:val="0077219D"/>
    <w:rsid w:val="0077316C"/>
    <w:rsid w:val="00773F60"/>
    <w:rsid w:val="0077416E"/>
    <w:rsid w:val="00774F2C"/>
    <w:rsid w:val="00776575"/>
    <w:rsid w:val="00777CAD"/>
    <w:rsid w:val="00781816"/>
    <w:rsid w:val="00781D92"/>
    <w:rsid w:val="00782791"/>
    <w:rsid w:val="00784910"/>
    <w:rsid w:val="007866C5"/>
    <w:rsid w:val="007868EE"/>
    <w:rsid w:val="0079135A"/>
    <w:rsid w:val="00791B97"/>
    <w:rsid w:val="00793794"/>
    <w:rsid w:val="00793BC1"/>
    <w:rsid w:val="00794B9D"/>
    <w:rsid w:val="00794C69"/>
    <w:rsid w:val="00796098"/>
    <w:rsid w:val="00796B99"/>
    <w:rsid w:val="00797F74"/>
    <w:rsid w:val="007A6B34"/>
    <w:rsid w:val="007B2C86"/>
    <w:rsid w:val="007B4A73"/>
    <w:rsid w:val="007B709A"/>
    <w:rsid w:val="007B70EC"/>
    <w:rsid w:val="007B728B"/>
    <w:rsid w:val="007C06A5"/>
    <w:rsid w:val="007C1CE9"/>
    <w:rsid w:val="007C4C13"/>
    <w:rsid w:val="007C56FF"/>
    <w:rsid w:val="007C6517"/>
    <w:rsid w:val="007C7539"/>
    <w:rsid w:val="007C7FCD"/>
    <w:rsid w:val="007D091C"/>
    <w:rsid w:val="007D2282"/>
    <w:rsid w:val="007D291A"/>
    <w:rsid w:val="007D370C"/>
    <w:rsid w:val="007D3AD5"/>
    <w:rsid w:val="007D53F4"/>
    <w:rsid w:val="007D79A6"/>
    <w:rsid w:val="007E43FC"/>
    <w:rsid w:val="007E6AC9"/>
    <w:rsid w:val="007E72A5"/>
    <w:rsid w:val="007F02FE"/>
    <w:rsid w:val="007F1115"/>
    <w:rsid w:val="007F1C7B"/>
    <w:rsid w:val="007F3713"/>
    <w:rsid w:val="007F4C10"/>
    <w:rsid w:val="007F568E"/>
    <w:rsid w:val="0080129A"/>
    <w:rsid w:val="008020E4"/>
    <w:rsid w:val="008027D1"/>
    <w:rsid w:val="008032B2"/>
    <w:rsid w:val="008035F4"/>
    <w:rsid w:val="008043C3"/>
    <w:rsid w:val="008043DF"/>
    <w:rsid w:val="0080443F"/>
    <w:rsid w:val="0080481C"/>
    <w:rsid w:val="00805237"/>
    <w:rsid w:val="00805B42"/>
    <w:rsid w:val="00805D23"/>
    <w:rsid w:val="0080614A"/>
    <w:rsid w:val="008069CD"/>
    <w:rsid w:val="00810580"/>
    <w:rsid w:val="00811AF5"/>
    <w:rsid w:val="008149A5"/>
    <w:rsid w:val="00814A9C"/>
    <w:rsid w:val="00816858"/>
    <w:rsid w:val="00817EB5"/>
    <w:rsid w:val="008217F6"/>
    <w:rsid w:val="0082323D"/>
    <w:rsid w:val="00826619"/>
    <w:rsid w:val="008308DF"/>
    <w:rsid w:val="00830945"/>
    <w:rsid w:val="00832EFC"/>
    <w:rsid w:val="00832FEB"/>
    <w:rsid w:val="00835157"/>
    <w:rsid w:val="00835EA5"/>
    <w:rsid w:val="008370D7"/>
    <w:rsid w:val="008404EE"/>
    <w:rsid w:val="0084245C"/>
    <w:rsid w:val="0084656B"/>
    <w:rsid w:val="00850547"/>
    <w:rsid w:val="008516DC"/>
    <w:rsid w:val="00851B52"/>
    <w:rsid w:val="00852AE1"/>
    <w:rsid w:val="00855854"/>
    <w:rsid w:val="00855FB5"/>
    <w:rsid w:val="00856180"/>
    <w:rsid w:val="00857C16"/>
    <w:rsid w:val="00860463"/>
    <w:rsid w:val="0086196F"/>
    <w:rsid w:val="00861A9D"/>
    <w:rsid w:val="00862E91"/>
    <w:rsid w:val="0086508E"/>
    <w:rsid w:val="00865305"/>
    <w:rsid w:val="00870579"/>
    <w:rsid w:val="00870FA8"/>
    <w:rsid w:val="00872A25"/>
    <w:rsid w:val="00874D8C"/>
    <w:rsid w:val="0087512A"/>
    <w:rsid w:val="0087597C"/>
    <w:rsid w:val="00884078"/>
    <w:rsid w:val="00885AEB"/>
    <w:rsid w:val="008865A2"/>
    <w:rsid w:val="00886D17"/>
    <w:rsid w:val="00890405"/>
    <w:rsid w:val="00891250"/>
    <w:rsid w:val="00891A28"/>
    <w:rsid w:val="00891E7F"/>
    <w:rsid w:val="00892262"/>
    <w:rsid w:val="00892BC0"/>
    <w:rsid w:val="008958C7"/>
    <w:rsid w:val="008964FF"/>
    <w:rsid w:val="008A1897"/>
    <w:rsid w:val="008A35E1"/>
    <w:rsid w:val="008A3872"/>
    <w:rsid w:val="008B18D0"/>
    <w:rsid w:val="008B1B21"/>
    <w:rsid w:val="008B23A9"/>
    <w:rsid w:val="008B5887"/>
    <w:rsid w:val="008B64A4"/>
    <w:rsid w:val="008B7D56"/>
    <w:rsid w:val="008C0AAA"/>
    <w:rsid w:val="008C1476"/>
    <w:rsid w:val="008C7C59"/>
    <w:rsid w:val="008D2089"/>
    <w:rsid w:val="008D4131"/>
    <w:rsid w:val="008D637F"/>
    <w:rsid w:val="008E0EB9"/>
    <w:rsid w:val="008E0F7A"/>
    <w:rsid w:val="008E2280"/>
    <w:rsid w:val="008E4D7E"/>
    <w:rsid w:val="008E5EF6"/>
    <w:rsid w:val="008E7CF1"/>
    <w:rsid w:val="008F0856"/>
    <w:rsid w:val="008F3FC2"/>
    <w:rsid w:val="008F7831"/>
    <w:rsid w:val="009002A5"/>
    <w:rsid w:val="0090086B"/>
    <w:rsid w:val="00900D21"/>
    <w:rsid w:val="00900E54"/>
    <w:rsid w:val="009014AF"/>
    <w:rsid w:val="00901D6D"/>
    <w:rsid w:val="00902113"/>
    <w:rsid w:val="00902C97"/>
    <w:rsid w:val="00904410"/>
    <w:rsid w:val="009072FC"/>
    <w:rsid w:val="00907328"/>
    <w:rsid w:val="009079E3"/>
    <w:rsid w:val="00910A1E"/>
    <w:rsid w:val="00911214"/>
    <w:rsid w:val="00912B31"/>
    <w:rsid w:val="00913EBD"/>
    <w:rsid w:val="00914D0D"/>
    <w:rsid w:val="00915982"/>
    <w:rsid w:val="00917287"/>
    <w:rsid w:val="00917927"/>
    <w:rsid w:val="00920446"/>
    <w:rsid w:val="009211DD"/>
    <w:rsid w:val="00923887"/>
    <w:rsid w:val="00924DBC"/>
    <w:rsid w:val="00926C70"/>
    <w:rsid w:val="00931C68"/>
    <w:rsid w:val="00933361"/>
    <w:rsid w:val="00933646"/>
    <w:rsid w:val="00934B59"/>
    <w:rsid w:val="00935800"/>
    <w:rsid w:val="00936286"/>
    <w:rsid w:val="009377F2"/>
    <w:rsid w:val="00940415"/>
    <w:rsid w:val="00940B21"/>
    <w:rsid w:val="00941D80"/>
    <w:rsid w:val="00943FE1"/>
    <w:rsid w:val="0094433C"/>
    <w:rsid w:val="009443DA"/>
    <w:rsid w:val="00944C80"/>
    <w:rsid w:val="00945126"/>
    <w:rsid w:val="0094778A"/>
    <w:rsid w:val="0094778D"/>
    <w:rsid w:val="0095000B"/>
    <w:rsid w:val="009503FE"/>
    <w:rsid w:val="0095145A"/>
    <w:rsid w:val="00952621"/>
    <w:rsid w:val="00952D1C"/>
    <w:rsid w:val="00952FC5"/>
    <w:rsid w:val="00953019"/>
    <w:rsid w:val="00953CC5"/>
    <w:rsid w:val="009546CF"/>
    <w:rsid w:val="00960099"/>
    <w:rsid w:val="009601CD"/>
    <w:rsid w:val="00961F87"/>
    <w:rsid w:val="00962E97"/>
    <w:rsid w:val="00966EBF"/>
    <w:rsid w:val="00970673"/>
    <w:rsid w:val="00971DAC"/>
    <w:rsid w:val="009739C3"/>
    <w:rsid w:val="009752DE"/>
    <w:rsid w:val="00977B01"/>
    <w:rsid w:val="00977FF9"/>
    <w:rsid w:val="009808CA"/>
    <w:rsid w:val="00981D18"/>
    <w:rsid w:val="00982995"/>
    <w:rsid w:val="00984A9F"/>
    <w:rsid w:val="00984FFF"/>
    <w:rsid w:val="0098539D"/>
    <w:rsid w:val="00987EF3"/>
    <w:rsid w:val="009922FC"/>
    <w:rsid w:val="009951DE"/>
    <w:rsid w:val="0099708D"/>
    <w:rsid w:val="009A53D8"/>
    <w:rsid w:val="009A6E1C"/>
    <w:rsid w:val="009A7718"/>
    <w:rsid w:val="009A781A"/>
    <w:rsid w:val="009A79DE"/>
    <w:rsid w:val="009B10AA"/>
    <w:rsid w:val="009B3759"/>
    <w:rsid w:val="009B48ED"/>
    <w:rsid w:val="009B6F6D"/>
    <w:rsid w:val="009C00CB"/>
    <w:rsid w:val="009C1E2F"/>
    <w:rsid w:val="009C3C38"/>
    <w:rsid w:val="009C56F3"/>
    <w:rsid w:val="009D1B49"/>
    <w:rsid w:val="009D2903"/>
    <w:rsid w:val="009E0264"/>
    <w:rsid w:val="009E24AE"/>
    <w:rsid w:val="009E5AD6"/>
    <w:rsid w:val="009F0BB4"/>
    <w:rsid w:val="009F4501"/>
    <w:rsid w:val="009F6875"/>
    <w:rsid w:val="009F75D9"/>
    <w:rsid w:val="009F7941"/>
    <w:rsid w:val="00A005CF"/>
    <w:rsid w:val="00A00E16"/>
    <w:rsid w:val="00A02148"/>
    <w:rsid w:val="00A05867"/>
    <w:rsid w:val="00A07409"/>
    <w:rsid w:val="00A07F03"/>
    <w:rsid w:val="00A1033D"/>
    <w:rsid w:val="00A122D5"/>
    <w:rsid w:val="00A12FD1"/>
    <w:rsid w:val="00A14B25"/>
    <w:rsid w:val="00A15102"/>
    <w:rsid w:val="00A16FE2"/>
    <w:rsid w:val="00A17F25"/>
    <w:rsid w:val="00A26A6E"/>
    <w:rsid w:val="00A26C67"/>
    <w:rsid w:val="00A27543"/>
    <w:rsid w:val="00A30B08"/>
    <w:rsid w:val="00A30C4D"/>
    <w:rsid w:val="00A31F8D"/>
    <w:rsid w:val="00A337B8"/>
    <w:rsid w:val="00A33CC9"/>
    <w:rsid w:val="00A354C8"/>
    <w:rsid w:val="00A40846"/>
    <w:rsid w:val="00A419B1"/>
    <w:rsid w:val="00A41AA5"/>
    <w:rsid w:val="00A4511E"/>
    <w:rsid w:val="00A45435"/>
    <w:rsid w:val="00A4575B"/>
    <w:rsid w:val="00A45C4D"/>
    <w:rsid w:val="00A47B2C"/>
    <w:rsid w:val="00A53EB5"/>
    <w:rsid w:val="00A545E8"/>
    <w:rsid w:val="00A55483"/>
    <w:rsid w:val="00A556F4"/>
    <w:rsid w:val="00A55D56"/>
    <w:rsid w:val="00A61B08"/>
    <w:rsid w:val="00A61BD6"/>
    <w:rsid w:val="00A635AC"/>
    <w:rsid w:val="00A63D56"/>
    <w:rsid w:val="00A64339"/>
    <w:rsid w:val="00A64B08"/>
    <w:rsid w:val="00A66656"/>
    <w:rsid w:val="00A66AB8"/>
    <w:rsid w:val="00A70073"/>
    <w:rsid w:val="00A70499"/>
    <w:rsid w:val="00A72DF6"/>
    <w:rsid w:val="00A7338F"/>
    <w:rsid w:val="00A76E5C"/>
    <w:rsid w:val="00A80F40"/>
    <w:rsid w:val="00A812E5"/>
    <w:rsid w:val="00A83B15"/>
    <w:rsid w:val="00A845A8"/>
    <w:rsid w:val="00A857BD"/>
    <w:rsid w:val="00A85C48"/>
    <w:rsid w:val="00A8664B"/>
    <w:rsid w:val="00A904D9"/>
    <w:rsid w:val="00A917F4"/>
    <w:rsid w:val="00A94A2A"/>
    <w:rsid w:val="00A95B27"/>
    <w:rsid w:val="00A97C14"/>
    <w:rsid w:val="00AA1161"/>
    <w:rsid w:val="00AA1E24"/>
    <w:rsid w:val="00AA21F4"/>
    <w:rsid w:val="00AA39C4"/>
    <w:rsid w:val="00AA56C2"/>
    <w:rsid w:val="00AA677A"/>
    <w:rsid w:val="00AA6D15"/>
    <w:rsid w:val="00AB06CE"/>
    <w:rsid w:val="00AB0E02"/>
    <w:rsid w:val="00AB13CA"/>
    <w:rsid w:val="00AB18EC"/>
    <w:rsid w:val="00AB1E24"/>
    <w:rsid w:val="00AB243C"/>
    <w:rsid w:val="00AB5D7B"/>
    <w:rsid w:val="00AB617C"/>
    <w:rsid w:val="00AB6F40"/>
    <w:rsid w:val="00AB7D9C"/>
    <w:rsid w:val="00AC2080"/>
    <w:rsid w:val="00AC3531"/>
    <w:rsid w:val="00AC5278"/>
    <w:rsid w:val="00AC6E57"/>
    <w:rsid w:val="00AD2FFB"/>
    <w:rsid w:val="00AD6730"/>
    <w:rsid w:val="00AE03D8"/>
    <w:rsid w:val="00AE37FA"/>
    <w:rsid w:val="00AE52E9"/>
    <w:rsid w:val="00AF0405"/>
    <w:rsid w:val="00AF0F39"/>
    <w:rsid w:val="00AF109D"/>
    <w:rsid w:val="00AF195B"/>
    <w:rsid w:val="00AF34F0"/>
    <w:rsid w:val="00AF393E"/>
    <w:rsid w:val="00AF3E43"/>
    <w:rsid w:val="00AF40CD"/>
    <w:rsid w:val="00AF5A0F"/>
    <w:rsid w:val="00B05C4D"/>
    <w:rsid w:val="00B064A7"/>
    <w:rsid w:val="00B07E27"/>
    <w:rsid w:val="00B16752"/>
    <w:rsid w:val="00B1680E"/>
    <w:rsid w:val="00B2099A"/>
    <w:rsid w:val="00B20C95"/>
    <w:rsid w:val="00B2128D"/>
    <w:rsid w:val="00B23CEB"/>
    <w:rsid w:val="00B242C6"/>
    <w:rsid w:val="00B250D6"/>
    <w:rsid w:val="00B26F2F"/>
    <w:rsid w:val="00B272A3"/>
    <w:rsid w:val="00B304E7"/>
    <w:rsid w:val="00B30D78"/>
    <w:rsid w:val="00B3277D"/>
    <w:rsid w:val="00B32977"/>
    <w:rsid w:val="00B34343"/>
    <w:rsid w:val="00B350B5"/>
    <w:rsid w:val="00B36C46"/>
    <w:rsid w:val="00B36F8E"/>
    <w:rsid w:val="00B415B6"/>
    <w:rsid w:val="00B42619"/>
    <w:rsid w:val="00B42856"/>
    <w:rsid w:val="00B443B4"/>
    <w:rsid w:val="00B450CE"/>
    <w:rsid w:val="00B4565C"/>
    <w:rsid w:val="00B45EB1"/>
    <w:rsid w:val="00B46942"/>
    <w:rsid w:val="00B517E3"/>
    <w:rsid w:val="00B520E3"/>
    <w:rsid w:val="00B52AD8"/>
    <w:rsid w:val="00B52C74"/>
    <w:rsid w:val="00B55CAF"/>
    <w:rsid w:val="00B56112"/>
    <w:rsid w:val="00B6168A"/>
    <w:rsid w:val="00B61E7B"/>
    <w:rsid w:val="00B66207"/>
    <w:rsid w:val="00B664FD"/>
    <w:rsid w:val="00B70D91"/>
    <w:rsid w:val="00B71015"/>
    <w:rsid w:val="00B72561"/>
    <w:rsid w:val="00B74014"/>
    <w:rsid w:val="00B75065"/>
    <w:rsid w:val="00B75456"/>
    <w:rsid w:val="00B77C94"/>
    <w:rsid w:val="00B77FE7"/>
    <w:rsid w:val="00B80057"/>
    <w:rsid w:val="00B80914"/>
    <w:rsid w:val="00B80916"/>
    <w:rsid w:val="00B8098F"/>
    <w:rsid w:val="00B80F94"/>
    <w:rsid w:val="00B816E3"/>
    <w:rsid w:val="00B818A6"/>
    <w:rsid w:val="00B85384"/>
    <w:rsid w:val="00B9102A"/>
    <w:rsid w:val="00B91717"/>
    <w:rsid w:val="00B919EF"/>
    <w:rsid w:val="00B91E83"/>
    <w:rsid w:val="00B9287F"/>
    <w:rsid w:val="00B92A9C"/>
    <w:rsid w:val="00B93C75"/>
    <w:rsid w:val="00B94F7F"/>
    <w:rsid w:val="00B9561D"/>
    <w:rsid w:val="00B95ECF"/>
    <w:rsid w:val="00B96F92"/>
    <w:rsid w:val="00BA165C"/>
    <w:rsid w:val="00BA36E7"/>
    <w:rsid w:val="00BA4546"/>
    <w:rsid w:val="00BA4DB0"/>
    <w:rsid w:val="00BA5B9B"/>
    <w:rsid w:val="00BA5EA0"/>
    <w:rsid w:val="00BA74A9"/>
    <w:rsid w:val="00BB243F"/>
    <w:rsid w:val="00BB3972"/>
    <w:rsid w:val="00BB5DC0"/>
    <w:rsid w:val="00BB5EFD"/>
    <w:rsid w:val="00BB6CF7"/>
    <w:rsid w:val="00BB7201"/>
    <w:rsid w:val="00BB7639"/>
    <w:rsid w:val="00BB79C2"/>
    <w:rsid w:val="00BC126C"/>
    <w:rsid w:val="00BC1AF5"/>
    <w:rsid w:val="00BC268C"/>
    <w:rsid w:val="00BC30FA"/>
    <w:rsid w:val="00BC32D1"/>
    <w:rsid w:val="00BC539F"/>
    <w:rsid w:val="00BC684A"/>
    <w:rsid w:val="00BC696A"/>
    <w:rsid w:val="00BC6CE5"/>
    <w:rsid w:val="00BC7937"/>
    <w:rsid w:val="00BD041B"/>
    <w:rsid w:val="00BD0C4E"/>
    <w:rsid w:val="00BD1F9D"/>
    <w:rsid w:val="00BD1FA8"/>
    <w:rsid w:val="00BD231B"/>
    <w:rsid w:val="00BD373B"/>
    <w:rsid w:val="00BD475B"/>
    <w:rsid w:val="00BD4DEE"/>
    <w:rsid w:val="00BD50AF"/>
    <w:rsid w:val="00BE4D17"/>
    <w:rsid w:val="00BE4EAE"/>
    <w:rsid w:val="00BE61EA"/>
    <w:rsid w:val="00BF09D2"/>
    <w:rsid w:val="00BF0BE9"/>
    <w:rsid w:val="00BF21E1"/>
    <w:rsid w:val="00BF3433"/>
    <w:rsid w:val="00BF37A6"/>
    <w:rsid w:val="00BF6442"/>
    <w:rsid w:val="00BF7546"/>
    <w:rsid w:val="00C00374"/>
    <w:rsid w:val="00C02BB2"/>
    <w:rsid w:val="00C0471E"/>
    <w:rsid w:val="00C05E3D"/>
    <w:rsid w:val="00C066F0"/>
    <w:rsid w:val="00C111F1"/>
    <w:rsid w:val="00C15BA4"/>
    <w:rsid w:val="00C2032C"/>
    <w:rsid w:val="00C20911"/>
    <w:rsid w:val="00C20B30"/>
    <w:rsid w:val="00C21307"/>
    <w:rsid w:val="00C2150C"/>
    <w:rsid w:val="00C22276"/>
    <w:rsid w:val="00C22FA8"/>
    <w:rsid w:val="00C23068"/>
    <w:rsid w:val="00C25397"/>
    <w:rsid w:val="00C26A5F"/>
    <w:rsid w:val="00C27958"/>
    <w:rsid w:val="00C3368D"/>
    <w:rsid w:val="00C36420"/>
    <w:rsid w:val="00C37AFF"/>
    <w:rsid w:val="00C40EC5"/>
    <w:rsid w:val="00C428D9"/>
    <w:rsid w:val="00C434BC"/>
    <w:rsid w:val="00C44788"/>
    <w:rsid w:val="00C500E6"/>
    <w:rsid w:val="00C5041E"/>
    <w:rsid w:val="00C527D4"/>
    <w:rsid w:val="00C55407"/>
    <w:rsid w:val="00C61875"/>
    <w:rsid w:val="00C64237"/>
    <w:rsid w:val="00C64292"/>
    <w:rsid w:val="00C67159"/>
    <w:rsid w:val="00C67AE6"/>
    <w:rsid w:val="00C7294C"/>
    <w:rsid w:val="00C7357F"/>
    <w:rsid w:val="00C73944"/>
    <w:rsid w:val="00C75343"/>
    <w:rsid w:val="00C768E8"/>
    <w:rsid w:val="00C76F6C"/>
    <w:rsid w:val="00C8065A"/>
    <w:rsid w:val="00C81DE0"/>
    <w:rsid w:val="00C81F88"/>
    <w:rsid w:val="00C8270F"/>
    <w:rsid w:val="00C845B3"/>
    <w:rsid w:val="00C8480E"/>
    <w:rsid w:val="00C85546"/>
    <w:rsid w:val="00C863EF"/>
    <w:rsid w:val="00C925A5"/>
    <w:rsid w:val="00C92F97"/>
    <w:rsid w:val="00C93C47"/>
    <w:rsid w:val="00C943CF"/>
    <w:rsid w:val="00C95EF5"/>
    <w:rsid w:val="00C970B2"/>
    <w:rsid w:val="00CA3CBC"/>
    <w:rsid w:val="00CA5301"/>
    <w:rsid w:val="00CA5AFE"/>
    <w:rsid w:val="00CA622D"/>
    <w:rsid w:val="00CA7321"/>
    <w:rsid w:val="00CB02C2"/>
    <w:rsid w:val="00CB0E9E"/>
    <w:rsid w:val="00CB0EA6"/>
    <w:rsid w:val="00CB19A6"/>
    <w:rsid w:val="00CB1C20"/>
    <w:rsid w:val="00CB2DF5"/>
    <w:rsid w:val="00CB4768"/>
    <w:rsid w:val="00CB61A8"/>
    <w:rsid w:val="00CB6AAE"/>
    <w:rsid w:val="00CB7056"/>
    <w:rsid w:val="00CB7770"/>
    <w:rsid w:val="00CB77C6"/>
    <w:rsid w:val="00CC1C26"/>
    <w:rsid w:val="00CC1C8C"/>
    <w:rsid w:val="00CC2621"/>
    <w:rsid w:val="00CC320B"/>
    <w:rsid w:val="00CC3ECA"/>
    <w:rsid w:val="00CD059B"/>
    <w:rsid w:val="00CD09E9"/>
    <w:rsid w:val="00CD152A"/>
    <w:rsid w:val="00CD2DE9"/>
    <w:rsid w:val="00CD73C1"/>
    <w:rsid w:val="00CE05CB"/>
    <w:rsid w:val="00CE41FA"/>
    <w:rsid w:val="00CE49D1"/>
    <w:rsid w:val="00CE4EFD"/>
    <w:rsid w:val="00CF0BFE"/>
    <w:rsid w:val="00CF1B76"/>
    <w:rsid w:val="00CF2E98"/>
    <w:rsid w:val="00CF47DA"/>
    <w:rsid w:val="00D008CF"/>
    <w:rsid w:val="00D00B9B"/>
    <w:rsid w:val="00D00DD2"/>
    <w:rsid w:val="00D01E78"/>
    <w:rsid w:val="00D031C9"/>
    <w:rsid w:val="00D03F65"/>
    <w:rsid w:val="00D07266"/>
    <w:rsid w:val="00D105A4"/>
    <w:rsid w:val="00D10DEA"/>
    <w:rsid w:val="00D124A2"/>
    <w:rsid w:val="00D136A5"/>
    <w:rsid w:val="00D137A1"/>
    <w:rsid w:val="00D208EA"/>
    <w:rsid w:val="00D215C1"/>
    <w:rsid w:val="00D22A14"/>
    <w:rsid w:val="00D239BA"/>
    <w:rsid w:val="00D23EFF"/>
    <w:rsid w:val="00D24F78"/>
    <w:rsid w:val="00D25FC5"/>
    <w:rsid w:val="00D27B64"/>
    <w:rsid w:val="00D3125B"/>
    <w:rsid w:val="00D3358F"/>
    <w:rsid w:val="00D33F9C"/>
    <w:rsid w:val="00D34C2E"/>
    <w:rsid w:val="00D34E46"/>
    <w:rsid w:val="00D350CD"/>
    <w:rsid w:val="00D36858"/>
    <w:rsid w:val="00D3772D"/>
    <w:rsid w:val="00D41FAD"/>
    <w:rsid w:val="00D436A6"/>
    <w:rsid w:val="00D4560A"/>
    <w:rsid w:val="00D46B42"/>
    <w:rsid w:val="00D4722B"/>
    <w:rsid w:val="00D50819"/>
    <w:rsid w:val="00D5268E"/>
    <w:rsid w:val="00D5283B"/>
    <w:rsid w:val="00D52AFA"/>
    <w:rsid w:val="00D544CC"/>
    <w:rsid w:val="00D54ADC"/>
    <w:rsid w:val="00D54C4E"/>
    <w:rsid w:val="00D6011B"/>
    <w:rsid w:val="00D618F9"/>
    <w:rsid w:val="00D65D80"/>
    <w:rsid w:val="00D73488"/>
    <w:rsid w:val="00D73E25"/>
    <w:rsid w:val="00D7417A"/>
    <w:rsid w:val="00D75C42"/>
    <w:rsid w:val="00D77C6F"/>
    <w:rsid w:val="00D8089A"/>
    <w:rsid w:val="00D80CC6"/>
    <w:rsid w:val="00D81BDC"/>
    <w:rsid w:val="00D87449"/>
    <w:rsid w:val="00D87ED3"/>
    <w:rsid w:val="00D92035"/>
    <w:rsid w:val="00D92594"/>
    <w:rsid w:val="00D953DE"/>
    <w:rsid w:val="00D97000"/>
    <w:rsid w:val="00D97FA9"/>
    <w:rsid w:val="00DA3EA9"/>
    <w:rsid w:val="00DA45B3"/>
    <w:rsid w:val="00DA5166"/>
    <w:rsid w:val="00DA7A6A"/>
    <w:rsid w:val="00DA7BB4"/>
    <w:rsid w:val="00DB1263"/>
    <w:rsid w:val="00DB1BB0"/>
    <w:rsid w:val="00DB2950"/>
    <w:rsid w:val="00DB68A1"/>
    <w:rsid w:val="00DC020A"/>
    <w:rsid w:val="00DC1644"/>
    <w:rsid w:val="00DC16BE"/>
    <w:rsid w:val="00DC26DE"/>
    <w:rsid w:val="00DC451C"/>
    <w:rsid w:val="00DC4E2A"/>
    <w:rsid w:val="00DC72A6"/>
    <w:rsid w:val="00DD0289"/>
    <w:rsid w:val="00DD0A88"/>
    <w:rsid w:val="00DD2E81"/>
    <w:rsid w:val="00DD315E"/>
    <w:rsid w:val="00DD47C3"/>
    <w:rsid w:val="00DD561C"/>
    <w:rsid w:val="00DD59DB"/>
    <w:rsid w:val="00DD76B8"/>
    <w:rsid w:val="00DE03BB"/>
    <w:rsid w:val="00DE39F4"/>
    <w:rsid w:val="00DE412F"/>
    <w:rsid w:val="00DE4738"/>
    <w:rsid w:val="00DE4B2D"/>
    <w:rsid w:val="00DE58D3"/>
    <w:rsid w:val="00DE5CBA"/>
    <w:rsid w:val="00DE70F1"/>
    <w:rsid w:val="00DE7A00"/>
    <w:rsid w:val="00DF056B"/>
    <w:rsid w:val="00DF4AA1"/>
    <w:rsid w:val="00DF5A19"/>
    <w:rsid w:val="00DF604B"/>
    <w:rsid w:val="00E002A4"/>
    <w:rsid w:val="00E01249"/>
    <w:rsid w:val="00E02605"/>
    <w:rsid w:val="00E029AB"/>
    <w:rsid w:val="00E036FB"/>
    <w:rsid w:val="00E050AC"/>
    <w:rsid w:val="00E06443"/>
    <w:rsid w:val="00E12E98"/>
    <w:rsid w:val="00E14396"/>
    <w:rsid w:val="00E1782E"/>
    <w:rsid w:val="00E20437"/>
    <w:rsid w:val="00E24474"/>
    <w:rsid w:val="00E258AE"/>
    <w:rsid w:val="00E2601E"/>
    <w:rsid w:val="00E26B7C"/>
    <w:rsid w:val="00E3008B"/>
    <w:rsid w:val="00E321EA"/>
    <w:rsid w:val="00E32FD0"/>
    <w:rsid w:val="00E33BD3"/>
    <w:rsid w:val="00E3454C"/>
    <w:rsid w:val="00E357E5"/>
    <w:rsid w:val="00E35A61"/>
    <w:rsid w:val="00E40D29"/>
    <w:rsid w:val="00E40E90"/>
    <w:rsid w:val="00E413D0"/>
    <w:rsid w:val="00E41BB6"/>
    <w:rsid w:val="00E431A4"/>
    <w:rsid w:val="00E43CE6"/>
    <w:rsid w:val="00E440DB"/>
    <w:rsid w:val="00E44860"/>
    <w:rsid w:val="00E467BE"/>
    <w:rsid w:val="00E5007E"/>
    <w:rsid w:val="00E509CF"/>
    <w:rsid w:val="00E51A70"/>
    <w:rsid w:val="00E51F78"/>
    <w:rsid w:val="00E54DF9"/>
    <w:rsid w:val="00E551F6"/>
    <w:rsid w:val="00E5583E"/>
    <w:rsid w:val="00E56031"/>
    <w:rsid w:val="00E62E1C"/>
    <w:rsid w:val="00E62EF5"/>
    <w:rsid w:val="00E65CAD"/>
    <w:rsid w:val="00E66014"/>
    <w:rsid w:val="00E67F7B"/>
    <w:rsid w:val="00E70D9B"/>
    <w:rsid w:val="00E74108"/>
    <w:rsid w:val="00E745D1"/>
    <w:rsid w:val="00E75112"/>
    <w:rsid w:val="00E75A4F"/>
    <w:rsid w:val="00E76B39"/>
    <w:rsid w:val="00E8097D"/>
    <w:rsid w:val="00E850DD"/>
    <w:rsid w:val="00E851D1"/>
    <w:rsid w:val="00E86A74"/>
    <w:rsid w:val="00E87A67"/>
    <w:rsid w:val="00E87C10"/>
    <w:rsid w:val="00E90CBF"/>
    <w:rsid w:val="00E917C0"/>
    <w:rsid w:val="00E9187B"/>
    <w:rsid w:val="00E91F95"/>
    <w:rsid w:val="00E94B84"/>
    <w:rsid w:val="00E97417"/>
    <w:rsid w:val="00EA0351"/>
    <w:rsid w:val="00EA3A1D"/>
    <w:rsid w:val="00EA617F"/>
    <w:rsid w:val="00EA68FC"/>
    <w:rsid w:val="00EA741C"/>
    <w:rsid w:val="00EB29B1"/>
    <w:rsid w:val="00EB32C6"/>
    <w:rsid w:val="00EB3F43"/>
    <w:rsid w:val="00EB5D59"/>
    <w:rsid w:val="00EC08AC"/>
    <w:rsid w:val="00EC147C"/>
    <w:rsid w:val="00EC3DBB"/>
    <w:rsid w:val="00EC4373"/>
    <w:rsid w:val="00EC43E8"/>
    <w:rsid w:val="00EC4648"/>
    <w:rsid w:val="00EC47DE"/>
    <w:rsid w:val="00EC4E8A"/>
    <w:rsid w:val="00EC5C9F"/>
    <w:rsid w:val="00EC5F48"/>
    <w:rsid w:val="00EC74CB"/>
    <w:rsid w:val="00ED09B4"/>
    <w:rsid w:val="00ED1646"/>
    <w:rsid w:val="00ED16E7"/>
    <w:rsid w:val="00ED20AC"/>
    <w:rsid w:val="00ED6A3F"/>
    <w:rsid w:val="00ED7421"/>
    <w:rsid w:val="00ED79BC"/>
    <w:rsid w:val="00ED7A5E"/>
    <w:rsid w:val="00EE03F9"/>
    <w:rsid w:val="00EE07FD"/>
    <w:rsid w:val="00EE3AEE"/>
    <w:rsid w:val="00EF28B2"/>
    <w:rsid w:val="00EF6369"/>
    <w:rsid w:val="00EF687F"/>
    <w:rsid w:val="00F00776"/>
    <w:rsid w:val="00F03301"/>
    <w:rsid w:val="00F04132"/>
    <w:rsid w:val="00F044F0"/>
    <w:rsid w:val="00F0477B"/>
    <w:rsid w:val="00F05AAB"/>
    <w:rsid w:val="00F06480"/>
    <w:rsid w:val="00F10FE3"/>
    <w:rsid w:val="00F11247"/>
    <w:rsid w:val="00F11825"/>
    <w:rsid w:val="00F12FE0"/>
    <w:rsid w:val="00F15254"/>
    <w:rsid w:val="00F16FF6"/>
    <w:rsid w:val="00F20232"/>
    <w:rsid w:val="00F21807"/>
    <w:rsid w:val="00F27615"/>
    <w:rsid w:val="00F30345"/>
    <w:rsid w:val="00F30980"/>
    <w:rsid w:val="00F31B15"/>
    <w:rsid w:val="00F31CBD"/>
    <w:rsid w:val="00F327AE"/>
    <w:rsid w:val="00F3430E"/>
    <w:rsid w:val="00F34AC7"/>
    <w:rsid w:val="00F34EEA"/>
    <w:rsid w:val="00F352C6"/>
    <w:rsid w:val="00F35861"/>
    <w:rsid w:val="00F35C9B"/>
    <w:rsid w:val="00F362E1"/>
    <w:rsid w:val="00F37C6A"/>
    <w:rsid w:val="00F401C8"/>
    <w:rsid w:val="00F40A9E"/>
    <w:rsid w:val="00F44D9E"/>
    <w:rsid w:val="00F45279"/>
    <w:rsid w:val="00F45D46"/>
    <w:rsid w:val="00F4650A"/>
    <w:rsid w:val="00F46621"/>
    <w:rsid w:val="00F54278"/>
    <w:rsid w:val="00F55BEC"/>
    <w:rsid w:val="00F560F0"/>
    <w:rsid w:val="00F56948"/>
    <w:rsid w:val="00F6087D"/>
    <w:rsid w:val="00F63672"/>
    <w:rsid w:val="00F658AE"/>
    <w:rsid w:val="00F71CF0"/>
    <w:rsid w:val="00F72D7E"/>
    <w:rsid w:val="00F763EC"/>
    <w:rsid w:val="00F81744"/>
    <w:rsid w:val="00F84FF6"/>
    <w:rsid w:val="00F85B5C"/>
    <w:rsid w:val="00F911D6"/>
    <w:rsid w:val="00F92637"/>
    <w:rsid w:val="00F92AB1"/>
    <w:rsid w:val="00FA1A1A"/>
    <w:rsid w:val="00FA2282"/>
    <w:rsid w:val="00FA239F"/>
    <w:rsid w:val="00FA3091"/>
    <w:rsid w:val="00FA44FB"/>
    <w:rsid w:val="00FA5110"/>
    <w:rsid w:val="00FA53AD"/>
    <w:rsid w:val="00FA7A04"/>
    <w:rsid w:val="00FB045C"/>
    <w:rsid w:val="00FB157C"/>
    <w:rsid w:val="00FB1ABF"/>
    <w:rsid w:val="00FB2D3C"/>
    <w:rsid w:val="00FB326C"/>
    <w:rsid w:val="00FB5C57"/>
    <w:rsid w:val="00FB7097"/>
    <w:rsid w:val="00FB79E3"/>
    <w:rsid w:val="00FC19BD"/>
    <w:rsid w:val="00FC25E3"/>
    <w:rsid w:val="00FC331F"/>
    <w:rsid w:val="00FC6574"/>
    <w:rsid w:val="00FC6EB9"/>
    <w:rsid w:val="00FD0561"/>
    <w:rsid w:val="00FD2E30"/>
    <w:rsid w:val="00FD3206"/>
    <w:rsid w:val="00FD3DB4"/>
    <w:rsid w:val="00FD5506"/>
    <w:rsid w:val="00FE3CCF"/>
    <w:rsid w:val="00FE3D99"/>
    <w:rsid w:val="00FE54B2"/>
    <w:rsid w:val="00FE601D"/>
    <w:rsid w:val="00FE6650"/>
    <w:rsid w:val="00FF463F"/>
    <w:rsid w:val="00FF51E9"/>
    <w:rsid w:val="00FF6264"/>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5E1C7-D5FB-4BE6-B90A-6EF26882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68"/>
    <w:pPr>
      <w:jc w:val="both"/>
    </w:pPr>
    <w:rPr>
      <w:sz w:val="24"/>
    </w:rPr>
  </w:style>
  <w:style w:type="paragraph" w:styleId="Heading1">
    <w:name w:val="heading 1"/>
    <w:aliases w:val="I Heading 1"/>
    <w:next w:val="Normal"/>
    <w:link w:val="Heading1Char"/>
    <w:uiPriority w:val="9"/>
    <w:qFormat/>
    <w:rsid w:val="004C0768"/>
    <w:pPr>
      <w:keepNext/>
      <w:keepLines/>
      <w:numPr>
        <w:numId w:val="2"/>
      </w:numPr>
      <w:spacing w:before="240"/>
      <w:jc w:val="both"/>
      <w:outlineLvl w:val="0"/>
    </w:pPr>
    <w:rPr>
      <w:rFonts w:eastAsiaTheme="majorEastAsia" w:cs="Arial"/>
      <w:b/>
      <w:bCs/>
      <w:sz w:val="24"/>
      <w:szCs w:val="32"/>
    </w:rPr>
  </w:style>
  <w:style w:type="paragraph" w:styleId="Heading2">
    <w:name w:val="heading 2"/>
    <w:aliases w:val="A. Heading 2"/>
    <w:basedOn w:val="Normal"/>
    <w:next w:val="Normal"/>
    <w:link w:val="Heading2Char"/>
    <w:uiPriority w:val="9"/>
    <w:unhideWhenUsed/>
    <w:qFormat/>
    <w:rsid w:val="004C0768"/>
    <w:pPr>
      <w:keepNext/>
      <w:keepLines/>
      <w:numPr>
        <w:ilvl w:val="1"/>
        <w:numId w:val="2"/>
      </w:numPr>
      <w:spacing w:before="240"/>
      <w:outlineLvl w:val="1"/>
    </w:pPr>
    <w:rPr>
      <w:rFonts w:eastAsiaTheme="majorEastAsia" w:cs="Arial"/>
      <w:b/>
      <w:bCs/>
      <w:szCs w:val="28"/>
    </w:rPr>
  </w:style>
  <w:style w:type="paragraph" w:styleId="Heading3">
    <w:name w:val="heading 3"/>
    <w:aliases w:val="1. Heading 3"/>
    <w:basedOn w:val="Normal"/>
    <w:next w:val="Normal"/>
    <w:link w:val="Heading3Char"/>
    <w:uiPriority w:val="9"/>
    <w:unhideWhenUsed/>
    <w:qFormat/>
    <w:rsid w:val="004C0768"/>
    <w:pPr>
      <w:keepNext/>
      <w:keepLines/>
      <w:numPr>
        <w:ilvl w:val="2"/>
        <w:numId w:val="2"/>
      </w:numPr>
      <w:spacing w:before="240"/>
      <w:outlineLvl w:val="2"/>
    </w:pPr>
    <w:rPr>
      <w:rFonts w:eastAsiaTheme="majorEastAsia" w:cs="Arial"/>
      <w:b/>
      <w:bCs/>
    </w:rPr>
  </w:style>
  <w:style w:type="paragraph" w:styleId="Heading4">
    <w:name w:val="heading 4"/>
    <w:aliases w:val="a). Heading 4"/>
    <w:basedOn w:val="Normal"/>
    <w:next w:val="Normal"/>
    <w:link w:val="Heading4Char"/>
    <w:uiPriority w:val="9"/>
    <w:unhideWhenUsed/>
    <w:rsid w:val="004C0768"/>
    <w:pPr>
      <w:keepNext/>
      <w:keepLines/>
      <w:numPr>
        <w:ilvl w:val="3"/>
        <w:numId w:val="2"/>
      </w:numPr>
      <w:spacing w:before="200"/>
      <w:outlineLvl w:val="3"/>
    </w:pPr>
    <w:rPr>
      <w:rFonts w:eastAsiaTheme="majorEastAsia" w:cs="Arial"/>
      <w:bCs/>
      <w:iCs/>
    </w:rPr>
  </w:style>
  <w:style w:type="paragraph" w:styleId="Heading5">
    <w:name w:val="heading 5"/>
    <w:aliases w:val="(1). Heading 5"/>
    <w:basedOn w:val="Normal"/>
    <w:next w:val="Normal"/>
    <w:link w:val="Heading5Char"/>
    <w:uiPriority w:val="9"/>
    <w:unhideWhenUsed/>
    <w:rsid w:val="004C0768"/>
    <w:pPr>
      <w:keepNext/>
      <w:keepLines/>
      <w:numPr>
        <w:ilvl w:val="4"/>
        <w:numId w:val="2"/>
      </w:numPr>
      <w:spacing w:before="200"/>
      <w:outlineLvl w:val="4"/>
    </w:pPr>
    <w:rPr>
      <w:rFonts w:eastAsiaTheme="majorEastAsia" w:cs="Arial"/>
    </w:rPr>
  </w:style>
  <w:style w:type="paragraph" w:styleId="Heading6">
    <w:name w:val="heading 6"/>
    <w:aliases w:val="(a). Heading 6"/>
    <w:basedOn w:val="Normal"/>
    <w:next w:val="Normal"/>
    <w:link w:val="Heading6Char"/>
    <w:uiPriority w:val="9"/>
    <w:unhideWhenUsed/>
    <w:rsid w:val="004C076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i). Heading 7"/>
    <w:basedOn w:val="Normal"/>
    <w:next w:val="Normal"/>
    <w:link w:val="Heading7Char"/>
    <w:uiPriority w:val="9"/>
    <w:semiHidden/>
    <w:unhideWhenUsed/>
    <w:rsid w:val="004C076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076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076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qFormat/>
    <w:rsid w:val="004C0768"/>
    <w:pPr>
      <w:tabs>
        <w:tab w:val="right" w:leader="dot" w:pos="9360"/>
      </w:tabs>
      <w:spacing w:before="360"/>
      <w:outlineLvl w:val="0"/>
    </w:pPr>
    <w:rPr>
      <w:b/>
    </w:rPr>
  </w:style>
  <w:style w:type="paragraph" w:customStyle="1" w:styleId="Head2">
    <w:name w:val="Head2"/>
    <w:basedOn w:val="Head1"/>
    <w:next w:val="Normal"/>
    <w:qFormat/>
    <w:rsid w:val="004C0768"/>
    <w:pPr>
      <w:spacing w:before="240"/>
      <w:outlineLvl w:val="1"/>
    </w:pPr>
  </w:style>
  <w:style w:type="paragraph" w:customStyle="1" w:styleId="Head3">
    <w:name w:val="Head3"/>
    <w:basedOn w:val="Head2"/>
    <w:next w:val="Normal"/>
    <w:qFormat/>
    <w:rsid w:val="004C0768"/>
    <w:pPr>
      <w:outlineLvl w:val="2"/>
    </w:pPr>
  </w:style>
  <w:style w:type="character" w:customStyle="1" w:styleId="Heading1Char">
    <w:name w:val="Heading 1 Char"/>
    <w:aliases w:val="I Heading 1 Char"/>
    <w:basedOn w:val="DefaultParagraphFont"/>
    <w:link w:val="Heading1"/>
    <w:uiPriority w:val="9"/>
    <w:rsid w:val="004C0768"/>
    <w:rPr>
      <w:rFonts w:eastAsiaTheme="majorEastAsia" w:cs="Arial"/>
      <w:b/>
      <w:bCs/>
      <w:sz w:val="24"/>
      <w:szCs w:val="32"/>
    </w:rPr>
  </w:style>
  <w:style w:type="character" w:customStyle="1" w:styleId="Heading2Char">
    <w:name w:val="Heading 2 Char"/>
    <w:aliases w:val="A. Heading 2 Char"/>
    <w:basedOn w:val="DefaultParagraphFont"/>
    <w:link w:val="Heading2"/>
    <w:uiPriority w:val="9"/>
    <w:rsid w:val="004C0768"/>
    <w:rPr>
      <w:rFonts w:eastAsiaTheme="majorEastAsia" w:cs="Arial"/>
      <w:b/>
      <w:bCs/>
      <w:sz w:val="24"/>
      <w:szCs w:val="28"/>
    </w:rPr>
  </w:style>
  <w:style w:type="character" w:customStyle="1" w:styleId="Heading3Char">
    <w:name w:val="Heading 3 Char"/>
    <w:aliases w:val="1. Heading 3 Char"/>
    <w:basedOn w:val="DefaultParagraphFont"/>
    <w:link w:val="Heading3"/>
    <w:uiPriority w:val="9"/>
    <w:rsid w:val="004C0768"/>
    <w:rPr>
      <w:rFonts w:eastAsiaTheme="majorEastAsia" w:cs="Arial"/>
      <w:b/>
      <w:bCs/>
      <w:sz w:val="24"/>
    </w:rPr>
  </w:style>
  <w:style w:type="character" w:customStyle="1" w:styleId="Heading4Char">
    <w:name w:val="Heading 4 Char"/>
    <w:aliases w:val="a). Heading 4 Char"/>
    <w:basedOn w:val="DefaultParagraphFont"/>
    <w:link w:val="Heading4"/>
    <w:uiPriority w:val="9"/>
    <w:rsid w:val="004C0768"/>
    <w:rPr>
      <w:rFonts w:eastAsiaTheme="majorEastAsia" w:cs="Arial"/>
      <w:bCs/>
      <w:iCs/>
      <w:sz w:val="24"/>
    </w:rPr>
  </w:style>
  <w:style w:type="character" w:customStyle="1" w:styleId="Heading5Char">
    <w:name w:val="Heading 5 Char"/>
    <w:aliases w:val="(1). Heading 5 Char"/>
    <w:basedOn w:val="DefaultParagraphFont"/>
    <w:link w:val="Heading5"/>
    <w:uiPriority w:val="9"/>
    <w:rsid w:val="004C0768"/>
    <w:rPr>
      <w:rFonts w:eastAsiaTheme="majorEastAsia" w:cs="Arial"/>
      <w:sz w:val="24"/>
    </w:rPr>
  </w:style>
  <w:style w:type="character" w:customStyle="1" w:styleId="Heading6Char">
    <w:name w:val="Heading 6 Char"/>
    <w:aliases w:val="(a). Heading 6 Char"/>
    <w:basedOn w:val="DefaultParagraphFont"/>
    <w:link w:val="Heading6"/>
    <w:uiPriority w:val="9"/>
    <w:rsid w:val="004C0768"/>
    <w:rPr>
      <w:rFonts w:asciiTheme="majorHAnsi" w:eastAsiaTheme="majorEastAsia" w:hAnsiTheme="majorHAnsi" w:cstheme="majorBidi"/>
      <w:i/>
      <w:iCs/>
      <w:color w:val="243F60" w:themeColor="accent1" w:themeShade="7F"/>
      <w:sz w:val="24"/>
    </w:rPr>
  </w:style>
  <w:style w:type="character" w:customStyle="1" w:styleId="Heading7Char">
    <w:name w:val="Heading 7 Char"/>
    <w:aliases w:val="(i). Heading 7 Char"/>
    <w:basedOn w:val="DefaultParagraphFont"/>
    <w:link w:val="Heading7"/>
    <w:uiPriority w:val="9"/>
    <w:semiHidden/>
    <w:rsid w:val="004C07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C07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076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1E187D"/>
    <w:pPr>
      <w:numPr>
        <w:numId w:val="0"/>
      </w:numPr>
      <w:spacing w:line="276" w:lineRule="auto"/>
      <w:outlineLvl w:val="9"/>
    </w:pPr>
    <w:rPr>
      <w:rFonts w:asciiTheme="majorHAnsi" w:hAnsiTheme="majorHAnsi" w:cstheme="majorBidi"/>
      <w:color w:val="365F91" w:themeColor="accent1" w:themeShade="BF"/>
      <w:sz w:val="28"/>
      <w:szCs w:val="28"/>
      <w:lang w:eastAsia="ja-JP"/>
    </w:rPr>
  </w:style>
  <w:style w:type="paragraph" w:styleId="BalloonText">
    <w:name w:val="Balloon Text"/>
    <w:basedOn w:val="Normal"/>
    <w:link w:val="BalloonTextChar"/>
    <w:uiPriority w:val="99"/>
    <w:semiHidden/>
    <w:unhideWhenUsed/>
    <w:rsid w:val="001E187D"/>
    <w:rPr>
      <w:rFonts w:ascii="Tahoma" w:hAnsi="Tahoma" w:cs="Tahoma"/>
      <w:sz w:val="16"/>
      <w:szCs w:val="16"/>
    </w:rPr>
  </w:style>
  <w:style w:type="character" w:customStyle="1" w:styleId="BalloonTextChar">
    <w:name w:val="Balloon Text Char"/>
    <w:basedOn w:val="DefaultParagraphFont"/>
    <w:link w:val="BalloonText"/>
    <w:uiPriority w:val="99"/>
    <w:semiHidden/>
    <w:rsid w:val="001E187D"/>
    <w:rPr>
      <w:rFonts w:ascii="Tahoma" w:hAnsi="Tahoma" w:cs="Tahoma"/>
      <w:sz w:val="16"/>
      <w:szCs w:val="16"/>
    </w:rPr>
  </w:style>
  <w:style w:type="paragraph" w:styleId="Header">
    <w:name w:val="header"/>
    <w:basedOn w:val="Normal"/>
    <w:link w:val="HeaderChar"/>
    <w:uiPriority w:val="99"/>
    <w:unhideWhenUsed/>
    <w:rsid w:val="004C0768"/>
    <w:pPr>
      <w:tabs>
        <w:tab w:val="center" w:pos="4680"/>
        <w:tab w:val="right" w:pos="9360"/>
      </w:tabs>
    </w:pPr>
  </w:style>
  <w:style w:type="character" w:customStyle="1" w:styleId="HeaderChar">
    <w:name w:val="Header Char"/>
    <w:basedOn w:val="DefaultParagraphFont"/>
    <w:link w:val="Header"/>
    <w:uiPriority w:val="99"/>
    <w:rsid w:val="004C0768"/>
    <w:rPr>
      <w:sz w:val="24"/>
    </w:rPr>
  </w:style>
  <w:style w:type="paragraph" w:styleId="Footer">
    <w:name w:val="footer"/>
    <w:basedOn w:val="Normal"/>
    <w:link w:val="FooterChar"/>
    <w:uiPriority w:val="99"/>
    <w:unhideWhenUsed/>
    <w:rsid w:val="006503FF"/>
    <w:pPr>
      <w:tabs>
        <w:tab w:val="center" w:pos="4680"/>
        <w:tab w:val="right" w:pos="9360"/>
      </w:tabs>
    </w:pPr>
  </w:style>
  <w:style w:type="character" w:customStyle="1" w:styleId="FooterChar">
    <w:name w:val="Footer Char"/>
    <w:basedOn w:val="DefaultParagraphFont"/>
    <w:link w:val="Footer"/>
    <w:uiPriority w:val="99"/>
    <w:rsid w:val="006503FF"/>
  </w:style>
  <w:style w:type="paragraph" w:customStyle="1" w:styleId="Quotation">
    <w:name w:val="Quotation"/>
    <w:basedOn w:val="Normal"/>
    <w:qFormat/>
    <w:rsid w:val="00CD2DE9"/>
    <w:pPr>
      <w:tabs>
        <w:tab w:val="right" w:leader="dot" w:pos="9360"/>
      </w:tabs>
      <w:spacing w:before="240"/>
      <w:ind w:left="720" w:right="720"/>
    </w:pPr>
    <w:rPr>
      <w:szCs w:val="24"/>
    </w:rPr>
  </w:style>
  <w:style w:type="paragraph" w:customStyle="1" w:styleId="DoubleQuotation">
    <w:name w:val="Double Quotation"/>
    <w:basedOn w:val="Normal"/>
    <w:qFormat/>
    <w:rsid w:val="00A30C4D"/>
    <w:pPr>
      <w:spacing w:before="240"/>
      <w:ind w:left="1440" w:right="1440"/>
    </w:pPr>
    <w:rPr>
      <w:szCs w:val="24"/>
    </w:rPr>
  </w:style>
  <w:style w:type="paragraph" w:styleId="BodyText">
    <w:name w:val="Body Text"/>
    <w:basedOn w:val="Normal"/>
    <w:link w:val="BodyTextChar"/>
    <w:uiPriority w:val="99"/>
    <w:semiHidden/>
    <w:unhideWhenUsed/>
    <w:rsid w:val="00A30C4D"/>
  </w:style>
  <w:style w:type="character" w:customStyle="1" w:styleId="BodyTextChar">
    <w:name w:val="Body Text Char"/>
    <w:basedOn w:val="DefaultParagraphFont"/>
    <w:link w:val="BodyText"/>
    <w:uiPriority w:val="99"/>
    <w:semiHidden/>
    <w:rsid w:val="00A30C4D"/>
  </w:style>
  <w:style w:type="paragraph" w:customStyle="1" w:styleId="Bullet">
    <w:name w:val="Bullet"/>
    <w:basedOn w:val="Normal"/>
    <w:qFormat/>
    <w:rsid w:val="009C56F3"/>
    <w:pPr>
      <w:numPr>
        <w:numId w:val="1"/>
      </w:numPr>
      <w:tabs>
        <w:tab w:val="left" w:pos="1080"/>
      </w:tabs>
      <w:spacing w:before="240"/>
      <w:ind w:left="1080"/>
    </w:pPr>
  </w:style>
  <w:style w:type="paragraph" w:customStyle="1" w:styleId="MAINPARAGRAPH">
    <w:name w:val="MAIN PARAGRAPH"/>
    <w:qFormat/>
    <w:rsid w:val="004C0768"/>
    <w:pPr>
      <w:numPr>
        <w:numId w:val="3"/>
      </w:numPr>
      <w:spacing w:before="240"/>
      <w:jc w:val="both"/>
    </w:pPr>
    <w:rPr>
      <w:rFonts w:eastAsiaTheme="majorEastAsia" w:cs="Arial"/>
      <w:bCs/>
      <w:sz w:val="24"/>
    </w:rPr>
  </w:style>
  <w:style w:type="paragraph" w:customStyle="1" w:styleId="Para1">
    <w:name w:val="Para (1)"/>
    <w:basedOn w:val="Heading1"/>
    <w:qFormat/>
    <w:rsid w:val="004C0768"/>
    <w:pPr>
      <w:keepNext w:val="0"/>
      <w:keepLines w:val="0"/>
      <w:numPr>
        <w:ilvl w:val="1"/>
        <w:numId w:val="3"/>
      </w:numPr>
      <w:outlineLvl w:val="9"/>
    </w:pPr>
    <w:rPr>
      <w:b w:val="0"/>
      <w:szCs w:val="26"/>
    </w:rPr>
  </w:style>
  <w:style w:type="paragraph" w:styleId="ListParagraph">
    <w:name w:val="List Paragraph"/>
    <w:basedOn w:val="Normal"/>
    <w:uiPriority w:val="34"/>
    <w:rsid w:val="004C0768"/>
    <w:pPr>
      <w:ind w:left="720"/>
      <w:contextualSpacing/>
    </w:pPr>
  </w:style>
  <w:style w:type="paragraph" w:customStyle="1" w:styleId="Paraa">
    <w:name w:val="Para (a)"/>
    <w:basedOn w:val="Heading1"/>
    <w:qFormat/>
    <w:rsid w:val="004C0768"/>
    <w:pPr>
      <w:keepNext w:val="0"/>
      <w:keepLines w:val="0"/>
      <w:numPr>
        <w:ilvl w:val="2"/>
        <w:numId w:val="3"/>
      </w:numPr>
      <w:outlineLvl w:val="9"/>
    </w:pPr>
    <w:rPr>
      <w:b w:val="0"/>
      <w:szCs w:val="26"/>
    </w:rPr>
  </w:style>
  <w:style w:type="paragraph" w:customStyle="1" w:styleId="Parai">
    <w:name w:val="Para (i)"/>
    <w:basedOn w:val="Heading1"/>
    <w:qFormat/>
    <w:rsid w:val="004C0768"/>
    <w:pPr>
      <w:keepNext w:val="0"/>
      <w:keepLines w:val="0"/>
      <w:numPr>
        <w:ilvl w:val="3"/>
        <w:numId w:val="3"/>
      </w:numPr>
      <w:outlineLvl w:val="9"/>
    </w:pPr>
    <w:rPr>
      <w:b w:val="0"/>
      <w:szCs w:val="26"/>
    </w:rPr>
  </w:style>
  <w:style w:type="paragraph" w:customStyle="1" w:styleId="Para10">
    <w:name w:val="Para 1"/>
    <w:basedOn w:val="Heading1"/>
    <w:qFormat/>
    <w:rsid w:val="004C0768"/>
    <w:pPr>
      <w:keepNext w:val="0"/>
      <w:keepLines w:val="0"/>
      <w:numPr>
        <w:ilvl w:val="4"/>
        <w:numId w:val="3"/>
      </w:numPr>
      <w:outlineLvl w:val="9"/>
    </w:pPr>
    <w:rPr>
      <w:b w:val="0"/>
      <w:szCs w:val="26"/>
    </w:rPr>
  </w:style>
  <w:style w:type="paragraph" w:customStyle="1" w:styleId="Para1a">
    <w:name w:val="Para 1a"/>
    <w:basedOn w:val="Para10"/>
    <w:qFormat/>
    <w:rsid w:val="004C0768"/>
    <w:pPr>
      <w:numPr>
        <w:ilvl w:val="5"/>
      </w:numPr>
    </w:pPr>
  </w:style>
  <w:style w:type="paragraph" w:customStyle="1" w:styleId="Para1i">
    <w:name w:val="Para 1i"/>
    <w:basedOn w:val="Para1a"/>
    <w:qFormat/>
    <w:rsid w:val="004C0768"/>
    <w:pPr>
      <w:numPr>
        <w:ilvl w:val="6"/>
      </w:numPr>
    </w:pPr>
  </w:style>
  <w:style w:type="paragraph" w:styleId="EndnoteText">
    <w:name w:val="endnote text"/>
    <w:basedOn w:val="Normal"/>
    <w:link w:val="EndnoteTextChar"/>
    <w:uiPriority w:val="99"/>
    <w:semiHidden/>
    <w:unhideWhenUsed/>
    <w:rsid w:val="006B4DF8"/>
    <w:rPr>
      <w:sz w:val="20"/>
      <w:szCs w:val="20"/>
    </w:rPr>
  </w:style>
  <w:style w:type="character" w:customStyle="1" w:styleId="EndnoteTextChar">
    <w:name w:val="Endnote Text Char"/>
    <w:basedOn w:val="DefaultParagraphFont"/>
    <w:link w:val="EndnoteText"/>
    <w:uiPriority w:val="99"/>
    <w:semiHidden/>
    <w:rsid w:val="006B4DF8"/>
    <w:rPr>
      <w:sz w:val="20"/>
      <w:szCs w:val="20"/>
    </w:rPr>
  </w:style>
  <w:style w:type="character" w:styleId="EndnoteReference">
    <w:name w:val="endnote reference"/>
    <w:basedOn w:val="DefaultParagraphFont"/>
    <w:uiPriority w:val="99"/>
    <w:semiHidden/>
    <w:unhideWhenUsed/>
    <w:rsid w:val="006B4DF8"/>
    <w:rPr>
      <w:vertAlign w:val="superscript"/>
    </w:rPr>
  </w:style>
  <w:style w:type="paragraph" w:styleId="FootnoteText">
    <w:name w:val="footnote text"/>
    <w:basedOn w:val="Normal"/>
    <w:link w:val="FootnoteTextChar"/>
    <w:uiPriority w:val="99"/>
    <w:semiHidden/>
    <w:unhideWhenUsed/>
    <w:rsid w:val="006B4DF8"/>
    <w:rPr>
      <w:sz w:val="20"/>
      <w:szCs w:val="20"/>
    </w:rPr>
  </w:style>
  <w:style w:type="character" w:customStyle="1" w:styleId="FootnoteTextChar">
    <w:name w:val="Footnote Text Char"/>
    <w:basedOn w:val="DefaultParagraphFont"/>
    <w:link w:val="FootnoteText"/>
    <w:uiPriority w:val="99"/>
    <w:semiHidden/>
    <w:rsid w:val="006B4DF8"/>
    <w:rPr>
      <w:sz w:val="20"/>
      <w:szCs w:val="20"/>
    </w:rPr>
  </w:style>
  <w:style w:type="character" w:styleId="FootnoteReference">
    <w:name w:val="footnote reference"/>
    <w:basedOn w:val="DefaultParagraphFont"/>
    <w:uiPriority w:val="99"/>
    <w:semiHidden/>
    <w:unhideWhenUsed/>
    <w:rsid w:val="006B4DF8"/>
    <w:rPr>
      <w:vertAlign w:val="superscript"/>
    </w:rPr>
  </w:style>
  <w:style w:type="paragraph" w:customStyle="1" w:styleId="paragraphnumbered1">
    <w:name w:val="paragraphnumbered1"/>
    <w:basedOn w:val="Normal"/>
    <w:rsid w:val="000A2ABC"/>
    <w:pPr>
      <w:spacing w:before="240"/>
    </w:pPr>
    <w:rPr>
      <w:rFonts w:ascii="Times New Roman" w:eastAsia="Times New Roman" w:hAnsi="Times New Roman" w:cs="Times New Roman"/>
      <w:sz w:val="26"/>
      <w:lang w:val="en-CA" w:eastAsia="en-CA"/>
    </w:rPr>
  </w:style>
  <w:style w:type="character" w:customStyle="1" w:styleId="reflex3-block">
    <w:name w:val="reflex3-block"/>
    <w:rsid w:val="000A2ABC"/>
  </w:style>
  <w:style w:type="character" w:customStyle="1" w:styleId="reflex3-alt">
    <w:name w:val="reflex3-alt"/>
    <w:rsid w:val="000A2ABC"/>
  </w:style>
  <w:style w:type="paragraph" w:customStyle="1" w:styleId="ParagraphNumbered">
    <w:name w:val="Paragraph Numbered"/>
    <w:basedOn w:val="Normal"/>
    <w:rsid w:val="004721A2"/>
    <w:pPr>
      <w:numPr>
        <w:numId w:val="4"/>
      </w:numPr>
      <w:tabs>
        <w:tab w:val="clear" w:pos="360"/>
        <w:tab w:val="left" w:pos="936"/>
      </w:tabs>
      <w:spacing w:before="240"/>
    </w:pPr>
    <w:rPr>
      <w:rFonts w:ascii="Times New Roman" w:eastAsia="Times New Roman" w:hAnsi="Times New Roman" w:cs="Times New Roman"/>
      <w:sz w:val="26"/>
      <w:szCs w:val="20"/>
      <w:lang w:val="en-CA"/>
    </w:rPr>
  </w:style>
  <w:style w:type="character" w:customStyle="1" w:styleId="solext110">
    <w:name w:val="solext110"/>
    <w:rsid w:val="004721A2"/>
    <w:rPr>
      <w:shd w:val="clear" w:color="auto" w:fill="F3BFFD"/>
    </w:rPr>
  </w:style>
  <w:style w:type="character" w:customStyle="1" w:styleId="ssl21">
    <w:name w:val="ss_l21"/>
    <w:basedOn w:val="DefaultParagraphFont"/>
    <w:rsid w:val="009A771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590152">
          <w:marLeft w:val="75"/>
          <w:marRight w:val="75"/>
          <w:marTop w:val="0"/>
          <w:marBottom w:val="0"/>
          <w:divBdr>
            <w:top w:val="none" w:sz="0" w:space="0" w:color="auto"/>
            <w:left w:val="none" w:sz="0" w:space="0" w:color="auto"/>
            <w:bottom w:val="none" w:sz="0" w:space="0" w:color="auto"/>
            <w:right w:val="none" w:sz="0" w:space="0" w:color="auto"/>
          </w:divBdr>
          <w:divsChild>
            <w:div w:id="172186690">
              <w:marLeft w:val="0"/>
              <w:marRight w:val="0"/>
              <w:marTop w:val="0"/>
              <w:marBottom w:val="105"/>
              <w:divBdr>
                <w:top w:val="none" w:sz="0" w:space="0" w:color="auto"/>
                <w:left w:val="none" w:sz="0" w:space="0" w:color="auto"/>
                <w:bottom w:val="none" w:sz="0" w:space="0" w:color="auto"/>
                <w:right w:val="none" w:sz="0" w:space="0" w:color="auto"/>
              </w:divBdr>
              <w:divsChild>
                <w:div w:id="622540247">
                  <w:marLeft w:val="0"/>
                  <w:marRight w:val="0"/>
                  <w:marTop w:val="105"/>
                  <w:marBottom w:val="0"/>
                  <w:divBdr>
                    <w:top w:val="none" w:sz="0" w:space="0" w:color="auto"/>
                    <w:left w:val="none" w:sz="0" w:space="0" w:color="auto"/>
                    <w:bottom w:val="none" w:sz="0" w:space="0" w:color="auto"/>
                    <w:right w:val="none" w:sz="0" w:space="0" w:color="auto"/>
                  </w:divBdr>
                  <w:divsChild>
                    <w:div w:id="1639454218">
                      <w:marLeft w:val="0"/>
                      <w:marRight w:val="0"/>
                      <w:marTop w:val="0"/>
                      <w:marBottom w:val="105"/>
                      <w:divBdr>
                        <w:top w:val="none" w:sz="0" w:space="0" w:color="auto"/>
                        <w:left w:val="none" w:sz="0" w:space="0" w:color="auto"/>
                        <w:bottom w:val="none" w:sz="0" w:space="0" w:color="auto"/>
                        <w:right w:val="none" w:sz="0" w:space="0" w:color="auto"/>
                      </w:divBdr>
                      <w:divsChild>
                        <w:div w:id="24989095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4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en/on/onca/doc/2002/2002canlii44915/2002canlii44915.html" TargetMode="External"/><Relationship Id="rId2" Type="http://schemas.openxmlformats.org/officeDocument/2006/relationships/hyperlink" Target="https://www.canlii.org/en/on/onca/doc/2006/2006canlii40975/2006canlii40975.html" TargetMode="External"/><Relationship Id="rId1" Type="http://schemas.openxmlformats.org/officeDocument/2006/relationships/hyperlink" Target="https://www.canlii.org/en/on/onca/doc/2004/2004canlii5549/2004canlii55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83E-B842-4350-8184-D882964F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5494</TotalTime>
  <Pages>16</Pages>
  <Words>5595</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Lipson, Timothy Justice (OCJ)</dc:creator>
  <cp:lastModifiedBy>Lipson, Timothy Justice (OCJ)</cp:lastModifiedBy>
  <cp:revision>101</cp:revision>
  <cp:lastPrinted>2018-04-10T14:52:00Z</cp:lastPrinted>
  <dcterms:created xsi:type="dcterms:W3CDTF">2018-03-01T22:19:00Z</dcterms:created>
  <dcterms:modified xsi:type="dcterms:W3CDTF">2018-04-10T18:01:00Z</dcterms:modified>
</cp:coreProperties>
</file>